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FF84B" w14:textId="6CD4E09A" w:rsidR="00D24363" w:rsidRDefault="0047582C">
      <w:pPr>
        <w:rPr>
          <w:b/>
          <w:bCs/>
          <w:sz w:val="28"/>
          <w:szCs w:val="28"/>
        </w:rPr>
      </w:pPr>
      <w:r>
        <w:rPr>
          <w:b/>
          <w:bCs/>
          <w:noProof/>
          <w:sz w:val="28"/>
          <w:szCs w:val="28"/>
        </w:rPr>
        <w:drawing>
          <wp:inline distT="0" distB="0" distL="0" distR="0" wp14:anchorId="6CC112EE" wp14:editId="12A5CB29">
            <wp:extent cx="6814545" cy="1250162"/>
            <wp:effectExtent l="0" t="0" r="5715" b="7620"/>
            <wp:docPr id="2872267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77168" cy="1298342"/>
                    </a:xfrm>
                    <a:prstGeom prst="rect">
                      <a:avLst/>
                    </a:prstGeom>
                    <a:noFill/>
                  </pic:spPr>
                </pic:pic>
              </a:graphicData>
            </a:graphic>
          </wp:inline>
        </w:drawing>
      </w:r>
    </w:p>
    <w:p w14:paraId="7A5D223C" w14:textId="4E221DCF" w:rsidR="00991F5A" w:rsidRPr="00991F5A" w:rsidRDefault="00644097" w:rsidP="00991F5A">
      <w:pPr>
        <w:pStyle w:val="NoSpacing"/>
      </w:pPr>
      <w:r>
        <w:t xml:space="preserve">                                                  </w:t>
      </w:r>
      <w:r w:rsidR="00BF49FB" w:rsidRPr="00991F5A">
        <w:t>Sawai Man Singh (SMS) Medical College, Jaipur, India.</w:t>
      </w:r>
    </w:p>
    <w:p w14:paraId="1BB4356F" w14:textId="156CA257" w:rsidR="00991F5A" w:rsidRDefault="00644097" w:rsidP="00991F5A">
      <w:pPr>
        <w:pStyle w:val="NoSpacing"/>
      </w:pPr>
      <w:r>
        <w:t xml:space="preserve">                                                 </w:t>
      </w:r>
      <w:r w:rsidR="00BF49FB" w:rsidRPr="00991F5A">
        <w:t xml:space="preserve">DOI: </w:t>
      </w:r>
      <w:hyperlink r:id="rId9" w:history="1">
        <w:r w:rsidR="00991F5A" w:rsidRPr="00D7298F">
          <w:rPr>
            <w:rStyle w:val="Hyperlink"/>
          </w:rPr>
          <w:t>https://www.doi.org/10.56726/IRJMETS83980</w:t>
        </w:r>
      </w:hyperlink>
    </w:p>
    <w:p w14:paraId="07DA9837" w14:textId="77777777" w:rsidR="00644097" w:rsidRDefault="00644097" w:rsidP="00991F5A">
      <w:pPr>
        <w:pStyle w:val="NoSpacing"/>
      </w:pPr>
    </w:p>
    <w:p w14:paraId="21D6BCC5" w14:textId="1FFEAA5E" w:rsidR="00680E0D" w:rsidRDefault="0006143C" w:rsidP="00991F5A">
      <w:pPr>
        <w:pStyle w:val="NoSpacing"/>
        <w:rPr>
          <w:b/>
          <w:bCs/>
        </w:rPr>
      </w:pPr>
      <w:r>
        <w:rPr>
          <w:b/>
          <w:bCs/>
        </w:rPr>
        <w:t xml:space="preserve">Acquired </w:t>
      </w:r>
      <w:r w:rsidR="00E83125" w:rsidRPr="00680E0D">
        <w:rPr>
          <w:b/>
          <w:bCs/>
        </w:rPr>
        <w:t>Haemolytic</w:t>
      </w:r>
      <w:r w:rsidR="00680E0D" w:rsidRPr="00680E0D">
        <w:rPr>
          <w:b/>
          <w:bCs/>
        </w:rPr>
        <w:t xml:space="preserve"> </w:t>
      </w:r>
      <w:r w:rsidR="00E83125" w:rsidRPr="00680E0D">
        <w:rPr>
          <w:b/>
          <w:bCs/>
        </w:rPr>
        <w:t>Anaemia</w:t>
      </w:r>
      <w:r w:rsidR="00680E0D" w:rsidRPr="00680E0D">
        <w:rPr>
          <w:b/>
          <w:bCs/>
        </w:rPr>
        <w:t xml:space="preserve"> in </w:t>
      </w:r>
      <w:r w:rsidR="00680E0D" w:rsidRPr="00680E0D">
        <w:rPr>
          <w:b/>
          <w:bCs/>
        </w:rPr>
        <w:t>Children</w:t>
      </w:r>
      <w:r w:rsidR="00680E0D" w:rsidRPr="00680E0D">
        <w:t xml:space="preserve"> </w:t>
      </w:r>
      <w:r w:rsidR="00680E0D" w:rsidRPr="00644097">
        <w:rPr>
          <w:b/>
          <w:bCs/>
        </w:rPr>
        <w:t>Diagnostic</w:t>
      </w:r>
      <w:r w:rsidR="00680E0D" w:rsidRPr="00644097">
        <w:rPr>
          <w:b/>
          <w:bCs/>
        </w:rPr>
        <w:t xml:space="preserve"> </w:t>
      </w:r>
      <w:r w:rsidR="00680E0D" w:rsidRPr="00680E0D">
        <w:rPr>
          <w:b/>
          <w:bCs/>
        </w:rPr>
        <w:t>Approach and Management</w:t>
      </w:r>
    </w:p>
    <w:p w14:paraId="0416CB22" w14:textId="77777777" w:rsidR="00644097" w:rsidRDefault="00644097" w:rsidP="00991F5A">
      <w:pPr>
        <w:pStyle w:val="NoSpacing"/>
        <w:rPr>
          <w:b/>
          <w:bCs/>
        </w:rPr>
      </w:pPr>
    </w:p>
    <w:p w14:paraId="70063901" w14:textId="3BF3684C" w:rsidR="005A1941" w:rsidRDefault="00417D88">
      <w:r>
        <w:rPr>
          <w:b/>
          <w:bCs/>
        </w:rPr>
        <w:t>AUTORS</w:t>
      </w:r>
      <w:r w:rsidR="005A1941">
        <w:rPr>
          <w:b/>
          <w:bCs/>
        </w:rPr>
        <w:t>:</w:t>
      </w:r>
      <w:r w:rsidR="00680E0D" w:rsidRPr="00417D88">
        <w:rPr>
          <w:b/>
          <w:bCs/>
        </w:rPr>
        <w:t xml:space="preserve"> </w:t>
      </w:r>
      <w:r w:rsidRPr="00417D88">
        <w:rPr>
          <w:b/>
          <w:bCs/>
        </w:rPr>
        <w:t xml:space="preserve">VAISHNAVI </w:t>
      </w:r>
      <w:r w:rsidR="00E83125" w:rsidRPr="00417D88">
        <w:rPr>
          <w:b/>
          <w:bCs/>
        </w:rPr>
        <w:t>BUTALE</w:t>
      </w:r>
      <w:r w:rsidR="00E83125">
        <w:t>,</w:t>
      </w:r>
      <w:r w:rsidR="00E83125" w:rsidRPr="00E83125">
        <w:t xml:space="preserve"> </w:t>
      </w:r>
      <w:proofErr w:type="spellStart"/>
      <w:r w:rsidR="00E83125" w:rsidRPr="00E83125">
        <w:rPr>
          <w:b/>
          <w:bCs/>
        </w:rPr>
        <w:t>Osmonova</w:t>
      </w:r>
      <w:proofErr w:type="spellEnd"/>
      <w:r w:rsidR="00E83125" w:rsidRPr="00E83125">
        <w:rPr>
          <w:b/>
          <w:bCs/>
        </w:rPr>
        <w:t xml:space="preserve"> </w:t>
      </w:r>
      <w:proofErr w:type="spellStart"/>
      <w:r w:rsidR="00E83125" w:rsidRPr="00E83125">
        <w:rPr>
          <w:b/>
          <w:bCs/>
        </w:rPr>
        <w:t>gulzan</w:t>
      </w:r>
      <w:proofErr w:type="spellEnd"/>
      <w:r w:rsidR="00E83125" w:rsidRPr="00E83125">
        <w:rPr>
          <w:b/>
          <w:bCs/>
        </w:rPr>
        <w:t xml:space="preserve"> mam</w:t>
      </w:r>
    </w:p>
    <w:p w14:paraId="1AFB83AB" w14:textId="3DA9F149" w:rsidR="00900FC4" w:rsidRDefault="0070689B">
      <w:r w:rsidRPr="005E78E2">
        <w:rPr>
          <w:b/>
          <w:bCs/>
        </w:rPr>
        <w:t>ABSTRACT</w:t>
      </w:r>
      <w:r>
        <w:t>:</w:t>
      </w:r>
      <w:r w:rsidRPr="0070689B">
        <w:t xml:space="preserve"> Autoimmune Haemolytic Anaemia (AIHA) is not very uncommon in childhood and mainly caused by the presence of auto-antibodies directed against antigens on the surface of red blood cells, leading to premature destruction of the cells. Many children are hospitalized every year due to sequelae of this heterogeneous group of disorders to which </w:t>
      </w:r>
      <w:r w:rsidRPr="0070689B">
        <w:t>paediatric</w:t>
      </w:r>
      <w:r w:rsidRPr="0070689B">
        <w:t xml:space="preserve"> </w:t>
      </w:r>
      <w:r w:rsidRPr="0070689B">
        <w:t>haematologist</w:t>
      </w:r>
      <w:r w:rsidRPr="0070689B">
        <w:t xml:space="preserve"> take a variety of diagnostic and therapeutic approaches. AIHA is generally categorized as "warm" or "cold" based on the thermal reactivity of the autoantibodies and is further classified as primary (idiopathic) or secondary. Early recognition and diagnosis are very important for successful management and outcome of </w:t>
      </w:r>
      <w:r w:rsidRPr="0070689B">
        <w:t>haemolytic</w:t>
      </w:r>
      <w:r w:rsidRPr="0070689B">
        <w:t xml:space="preserve"> </w:t>
      </w:r>
      <w:r w:rsidRPr="0070689B">
        <w:t>anaemia</w:t>
      </w:r>
      <w:r w:rsidRPr="0070689B">
        <w:t xml:space="preserve">. The evaluation of suspected immune </w:t>
      </w:r>
      <w:r w:rsidRPr="0070689B">
        <w:t>haemolytic</w:t>
      </w:r>
      <w:r w:rsidRPr="0070689B">
        <w:t xml:space="preserve"> </w:t>
      </w:r>
      <w:r w:rsidRPr="0070689B">
        <w:t>anaemia</w:t>
      </w:r>
      <w:r w:rsidRPr="0070689B">
        <w:t xml:space="preserve"> includes a thorough history, physical examination and laboratory workup assessing for evidence of acute </w:t>
      </w:r>
      <w:r w:rsidRPr="0070689B">
        <w:t>haemolytic</w:t>
      </w:r>
      <w:r w:rsidRPr="0070689B">
        <w:t xml:space="preserve"> </w:t>
      </w:r>
      <w:r w:rsidRPr="0070689B">
        <w:t>anaemia</w:t>
      </w:r>
      <w:r w:rsidRPr="0070689B">
        <w:t xml:space="preserve">, possible diagnosis of an acute event, to evaluate for concurrent causes and to rule out alternative causes. In this review article we will discuss the classification, diagnostic approach and general management of </w:t>
      </w:r>
      <w:r w:rsidRPr="0070689B">
        <w:t>haemolytic</w:t>
      </w:r>
      <w:r w:rsidRPr="0070689B">
        <w:t xml:space="preserve"> </w:t>
      </w:r>
      <w:r w:rsidRPr="0070689B">
        <w:t>anaemia</w:t>
      </w:r>
      <w:r w:rsidRPr="0070689B">
        <w:t xml:space="preserve"> in children especially focusing on newly diagnosed autoimmune </w:t>
      </w:r>
      <w:r w:rsidRPr="0070689B">
        <w:t>haemolytic</w:t>
      </w:r>
      <w:r w:rsidRPr="0070689B">
        <w:t xml:space="preserve"> </w:t>
      </w:r>
      <w:r w:rsidRPr="0070689B">
        <w:t>anaemia</w:t>
      </w:r>
      <w:r w:rsidRPr="0070689B">
        <w:t xml:space="preserve">. </w:t>
      </w:r>
    </w:p>
    <w:p w14:paraId="3644E103" w14:textId="78BFDAF3" w:rsidR="00E83125" w:rsidRDefault="005E78E2">
      <w:r w:rsidRPr="005E78E2">
        <w:rPr>
          <w:b/>
          <w:bCs/>
        </w:rPr>
        <w:t>Keywords</w:t>
      </w:r>
      <w:r w:rsidRPr="005E78E2">
        <w:t xml:space="preserve">: Autoimmune; </w:t>
      </w:r>
      <w:r w:rsidRPr="005E78E2">
        <w:t>haemolytic</w:t>
      </w:r>
      <w:r w:rsidRPr="005E78E2">
        <w:t xml:space="preserve"> </w:t>
      </w:r>
      <w:r w:rsidRPr="005E78E2">
        <w:t>anaemia</w:t>
      </w:r>
      <w:r w:rsidRPr="005E78E2">
        <w:t>; children; diagnostic approach; management.</w:t>
      </w:r>
    </w:p>
    <w:p w14:paraId="3925E041" w14:textId="77777777" w:rsidR="009D00A7" w:rsidRDefault="0006143C" w:rsidP="004665EB">
      <w:pPr>
        <w:pStyle w:val="ListParagraph"/>
        <w:numPr>
          <w:ilvl w:val="0"/>
          <w:numId w:val="1"/>
        </w:numPr>
      </w:pPr>
      <w:r w:rsidRPr="002A74C0">
        <w:rPr>
          <w:b/>
          <w:bCs/>
        </w:rPr>
        <w:t>INTRODUCTION</w:t>
      </w:r>
      <w:r w:rsidRPr="0006143C">
        <w:t xml:space="preserve"> </w:t>
      </w:r>
      <w:r w:rsidRPr="0006143C">
        <w:t>Haemolytic</w:t>
      </w:r>
      <w:r w:rsidRPr="0006143C">
        <w:t xml:space="preserve"> </w:t>
      </w:r>
      <w:r w:rsidRPr="0006143C">
        <w:t>anaemia</w:t>
      </w:r>
      <w:r w:rsidRPr="0006143C">
        <w:t xml:space="preserve"> is not very uncommon in children. Many children are hospitalized every year due to sequelae of this heterogeneous group of disorders [1, 2]. Many extrinsic agents and disorders may lead to premature destruction of red blood cells [1-3]. Autoimmune </w:t>
      </w:r>
      <w:r w:rsidRPr="0006143C">
        <w:t>haemolytic</w:t>
      </w:r>
      <w:r w:rsidRPr="0006143C">
        <w:t xml:space="preserve"> </w:t>
      </w:r>
      <w:r w:rsidRPr="0006143C">
        <w:t>anaemia</w:t>
      </w:r>
      <w:r w:rsidRPr="0006143C">
        <w:t xml:space="preserve"> (AIHA) in childhood is mainly caused by the presence of auto-antibodies directed against RBCs Ag, leading to premature destruction of the cells [3- 5]. The overall annual incidence of AIHA is reported to be 1–3 cases/100,000 people and approximately 0.2 cases/1,000,000 individuals under 20 years of age, although these figures are probably underestimates, partly because of the lack of understanding of the diagnostic tools [6-9</w:t>
      </w:r>
      <w:r w:rsidRPr="0006143C">
        <w:t>].</w:t>
      </w:r>
      <w:r w:rsidRPr="0006143C">
        <w:t xml:space="preserve"> The hallmark of this group of diseases is the positive result of the direct antiglobulin (Coombs) test, which detects a coating of immunoglobulin or components of complement on the RBC surface. AIHA is generally categorized as "warm" or "cold" based on the thermal reactivity of the autoantibodies and is classified as primary (idiopathic) or secondary based on whether or not an underlying disease process is present [3- 5,10]. </w:t>
      </w:r>
      <w:r w:rsidRPr="0006143C">
        <w:t>Ethology</w:t>
      </w:r>
      <w:r w:rsidRPr="0006143C">
        <w:t xml:space="preserve"> of AIHA is often idiopathic (37%), </w:t>
      </w:r>
      <w:r w:rsidRPr="0006143C">
        <w:t>post infective</w:t>
      </w:r>
      <w:r w:rsidRPr="0006143C">
        <w:t xml:space="preserve"> (10%), or secondary (53%); in this last case, AIHA is part of a more complex disease, usually of immunological, infective or neoplastic nature [1,2,11-19]. </w:t>
      </w:r>
    </w:p>
    <w:p w14:paraId="42BD0499" w14:textId="77777777" w:rsidR="009D00A7" w:rsidRDefault="009D00A7" w:rsidP="00521D46">
      <w:pPr>
        <w:ind w:left="360"/>
      </w:pPr>
    </w:p>
    <w:p w14:paraId="02E53136" w14:textId="7407A2FC" w:rsidR="009D00A7" w:rsidRPr="00777B22" w:rsidRDefault="00521D46" w:rsidP="00777B22">
      <w:pPr>
        <w:ind w:left="360"/>
        <w:rPr>
          <w:color w:val="47D459" w:themeColor="accent3" w:themeTint="99"/>
          <w:u w:val="single"/>
        </w:rPr>
      </w:pPr>
      <w:r w:rsidRPr="00777B22">
        <w:rPr>
          <w:color w:val="47D459" w:themeColor="accent3" w:themeTint="99"/>
          <w:u w:val="single"/>
        </w:rPr>
        <w:t>@International Research Journal of Modernization in Engineering, Technology and Science</w:t>
      </w:r>
    </w:p>
    <w:p w14:paraId="14ADDD4A" w14:textId="09A2B11C" w:rsidR="00777B22" w:rsidRDefault="00AB6D0F" w:rsidP="00AB6D0F">
      <w:pPr>
        <w:pStyle w:val="ListParagraph"/>
      </w:pPr>
      <w:r>
        <w:rPr>
          <w:b/>
          <w:bCs/>
          <w:noProof/>
          <w:sz w:val="28"/>
          <w:szCs w:val="28"/>
        </w:rPr>
        <w:lastRenderedPageBreak/>
        <w:drawing>
          <wp:inline distT="0" distB="0" distL="0" distR="0" wp14:anchorId="7A530E8C" wp14:editId="525DAD77">
            <wp:extent cx="6232776" cy="896620"/>
            <wp:effectExtent l="0" t="0" r="0" b="0"/>
            <wp:docPr id="89144376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94461" cy="905494"/>
                    </a:xfrm>
                    <a:prstGeom prst="rect">
                      <a:avLst/>
                    </a:prstGeom>
                    <a:noFill/>
                  </pic:spPr>
                </pic:pic>
              </a:graphicData>
            </a:graphic>
          </wp:inline>
        </w:drawing>
      </w:r>
    </w:p>
    <w:p w14:paraId="66A406E8" w14:textId="61304AAE" w:rsidR="00E74024" w:rsidRDefault="0006143C" w:rsidP="00521D46">
      <w:pPr>
        <w:pStyle w:val="ListParagraph"/>
      </w:pPr>
      <w:r w:rsidRPr="0006143C">
        <w:t xml:space="preserve">Early recognition and diagnosis are very important for successful management and outcome of </w:t>
      </w:r>
    </w:p>
    <w:p w14:paraId="3B7F9FF2" w14:textId="6F7B421B" w:rsidR="001F4FB5" w:rsidRDefault="0006143C" w:rsidP="00E74024">
      <w:pPr>
        <w:pStyle w:val="ListParagraph"/>
      </w:pPr>
      <w:r w:rsidRPr="0006143C">
        <w:t>haemolytic</w:t>
      </w:r>
      <w:r w:rsidRPr="0006143C">
        <w:t xml:space="preserve"> </w:t>
      </w:r>
      <w:r w:rsidRPr="0006143C">
        <w:t>anaemia</w:t>
      </w:r>
      <w:r w:rsidRPr="0006143C">
        <w:t xml:space="preserve">. The evaluation of suspected immune </w:t>
      </w:r>
      <w:r w:rsidRPr="0006143C">
        <w:t>haemolytic</w:t>
      </w:r>
      <w:r w:rsidRPr="0006143C">
        <w:t xml:space="preserve"> </w:t>
      </w:r>
      <w:r w:rsidRPr="0006143C">
        <w:t>anaemia</w:t>
      </w:r>
      <w:r w:rsidRPr="0006143C">
        <w:t xml:space="preserve"> includes a thorough history, physical examination and laboratory workup assessing for evidence of acute </w:t>
      </w:r>
      <w:r w:rsidRPr="0006143C">
        <w:t>haemolytic</w:t>
      </w:r>
      <w:r w:rsidRPr="0006143C">
        <w:t xml:space="preserve"> </w:t>
      </w:r>
      <w:r w:rsidRPr="0006143C">
        <w:t>anaemia</w:t>
      </w:r>
      <w:r w:rsidRPr="0006143C">
        <w:t xml:space="preserve">, possible diagnosis of an acute event, to evaluate for concurrent causes and to rule out alternative causes [1,2,11,20]. In this review article we will discuss the classification, assessment and diagnostic approach and management of </w:t>
      </w:r>
      <w:r w:rsidRPr="0006143C">
        <w:t>haemolytic</w:t>
      </w:r>
      <w:r w:rsidRPr="0006143C">
        <w:t xml:space="preserve"> </w:t>
      </w:r>
      <w:r w:rsidRPr="0006143C">
        <w:t>anaemia</w:t>
      </w:r>
      <w:r w:rsidRPr="0006143C">
        <w:t xml:space="preserve"> in children especially focusing on newly diagnosed autoimmune </w:t>
      </w:r>
      <w:r w:rsidRPr="0006143C">
        <w:t>haemolytic</w:t>
      </w:r>
      <w:r w:rsidRPr="0006143C">
        <w:t xml:space="preserve"> </w:t>
      </w:r>
      <w:r w:rsidRPr="0006143C">
        <w:t>anaemia</w:t>
      </w:r>
      <w:r w:rsidRPr="0006143C">
        <w:t xml:space="preserve"> to provide a valuable practical source of information to the </w:t>
      </w:r>
      <w:r w:rsidRPr="0006143C">
        <w:t>paediatricians</w:t>
      </w:r>
      <w:r w:rsidRPr="0006143C">
        <w:t xml:space="preserve">, trainees in </w:t>
      </w:r>
      <w:r w:rsidRPr="0006143C">
        <w:t>paediatric</w:t>
      </w:r>
      <w:r w:rsidRPr="0006143C">
        <w:t xml:space="preserve"> </w:t>
      </w:r>
      <w:r w:rsidRPr="0006143C">
        <w:t>haematology</w:t>
      </w:r>
      <w:r w:rsidRPr="0006143C">
        <w:t>, as well as staff in related medical or other healthcare disciplines.</w:t>
      </w:r>
    </w:p>
    <w:p w14:paraId="307FB78C" w14:textId="29E80B3D" w:rsidR="000E3D26" w:rsidRPr="002841A0" w:rsidRDefault="000E3D26" w:rsidP="000E3D26">
      <w:pPr>
        <w:pStyle w:val="ListParagraph"/>
        <w:rPr>
          <w:u w:val="single"/>
        </w:rPr>
      </w:pPr>
      <w:r w:rsidRPr="002841A0">
        <w:rPr>
          <w:u w:val="single"/>
        </w:rPr>
        <w:t>classification</w:t>
      </w:r>
    </w:p>
    <w:p w14:paraId="2EB14FED" w14:textId="12916BB0" w:rsidR="000E3D26" w:rsidRDefault="000E3D26" w:rsidP="000E3D26">
      <w:pPr>
        <w:pStyle w:val="ListParagraph"/>
      </w:pPr>
      <w:r>
        <w:t xml:space="preserve">I. Immune-mediated Acquired </w:t>
      </w:r>
      <w:r>
        <w:t>Haemolytic</w:t>
      </w:r>
      <w:r>
        <w:t xml:space="preserve"> </w:t>
      </w:r>
      <w:r>
        <w:t>Anaemia</w:t>
      </w:r>
    </w:p>
    <w:p w14:paraId="6353F74F" w14:textId="64BED268" w:rsidR="000E3D26" w:rsidRDefault="000E3D26" w:rsidP="000E3D26">
      <w:pPr>
        <w:pStyle w:val="ListParagraph"/>
      </w:pPr>
      <w:r>
        <w:tab/>
        <w:t>1.</w:t>
      </w:r>
      <w:r>
        <w:tab/>
        <w:t xml:space="preserve">Isoimmune </w:t>
      </w:r>
      <w:r>
        <w:t>haemolytic</w:t>
      </w:r>
      <w:r>
        <w:t xml:space="preserve"> </w:t>
      </w:r>
      <w:r>
        <w:t>anaemia</w:t>
      </w:r>
    </w:p>
    <w:p w14:paraId="27438517" w14:textId="0B64B355" w:rsidR="000E3D26" w:rsidRDefault="000E3D26" w:rsidP="000E3D26">
      <w:pPr>
        <w:pStyle w:val="ListParagraph"/>
      </w:pPr>
      <w:r>
        <w:tab/>
      </w:r>
      <w:r w:rsidR="00923991">
        <w:t xml:space="preserve">           </w:t>
      </w:r>
      <w:r>
        <w:t>•</w:t>
      </w:r>
      <w:r>
        <w:tab/>
      </w:r>
      <w:r w:rsidR="00923991">
        <w:t>Haemolytic</w:t>
      </w:r>
      <w:r>
        <w:t xml:space="preserve"> disease of the newborn (HDN)</w:t>
      </w:r>
    </w:p>
    <w:p w14:paraId="645592B4" w14:textId="74CD300D" w:rsidR="000E3D26" w:rsidRDefault="000E3D26" w:rsidP="000E3D26">
      <w:pPr>
        <w:pStyle w:val="ListParagraph"/>
      </w:pPr>
      <w:r>
        <w:tab/>
      </w:r>
      <w:r w:rsidR="00923991">
        <w:t xml:space="preserve">           </w:t>
      </w:r>
      <w:r>
        <w:t>•</w:t>
      </w:r>
      <w:r>
        <w:tab/>
        <w:t>Blood transfusion incompatibility</w:t>
      </w:r>
    </w:p>
    <w:p w14:paraId="41E9EAF1" w14:textId="4792286E" w:rsidR="000E3D26" w:rsidRDefault="000E3D26" w:rsidP="000E3D26">
      <w:pPr>
        <w:pStyle w:val="ListParagraph"/>
      </w:pPr>
      <w:r>
        <w:tab/>
        <w:t>2.</w:t>
      </w:r>
      <w:r>
        <w:tab/>
        <w:t>Hetero</w:t>
      </w:r>
      <w:r w:rsidR="002841A0">
        <w:t xml:space="preserve"> </w:t>
      </w:r>
      <w:r>
        <w:t xml:space="preserve">immune (drug-induced) </w:t>
      </w:r>
      <w:r w:rsidR="00923991">
        <w:t>haemolytic</w:t>
      </w:r>
      <w:r>
        <w:t xml:space="preserve"> </w:t>
      </w:r>
      <w:r w:rsidR="00923991">
        <w:t>anaemia</w:t>
      </w:r>
    </w:p>
    <w:p w14:paraId="45E6FA70" w14:textId="6F6617D9" w:rsidR="000E3D26" w:rsidRDefault="000E3D26" w:rsidP="000E3D26">
      <w:pPr>
        <w:pStyle w:val="ListParagraph"/>
      </w:pPr>
      <w:r>
        <w:tab/>
        <w:t>3.</w:t>
      </w:r>
      <w:r>
        <w:tab/>
        <w:t xml:space="preserve">Autoimmune </w:t>
      </w:r>
      <w:r w:rsidR="00923991">
        <w:t>haemolytic</w:t>
      </w:r>
      <w:r>
        <w:t xml:space="preserve"> </w:t>
      </w:r>
      <w:r w:rsidR="00923991">
        <w:t>anaemia</w:t>
      </w:r>
      <w:r>
        <w:t xml:space="preserve"> (AIHA)</w:t>
      </w:r>
    </w:p>
    <w:p w14:paraId="49228130" w14:textId="6AEFCE89" w:rsidR="000E3D26" w:rsidRDefault="000E3D26" w:rsidP="000E3D26">
      <w:pPr>
        <w:pStyle w:val="ListParagraph"/>
      </w:pPr>
      <w:r>
        <w:tab/>
      </w:r>
      <w:r w:rsidR="00923991">
        <w:t xml:space="preserve">          </w:t>
      </w:r>
      <w:r>
        <w:t>•</w:t>
      </w:r>
      <w:r>
        <w:tab/>
        <w:t>Warm antibody AIHA</w:t>
      </w:r>
    </w:p>
    <w:p w14:paraId="4BC2FADC" w14:textId="0515DAD4" w:rsidR="000E3D26" w:rsidRDefault="000E3D26" w:rsidP="000E3D26">
      <w:pPr>
        <w:pStyle w:val="ListParagraph"/>
      </w:pPr>
      <w:r>
        <w:tab/>
      </w:r>
      <w:r w:rsidR="00923991">
        <w:t xml:space="preserve">          </w:t>
      </w:r>
      <w:r>
        <w:t>•</w:t>
      </w:r>
      <w:r>
        <w:tab/>
        <w:t>Cold antibody AIHA</w:t>
      </w:r>
    </w:p>
    <w:p w14:paraId="121E9D65" w14:textId="498B6E5E" w:rsidR="000E3D26" w:rsidRDefault="000E3D26" w:rsidP="000E3D26">
      <w:pPr>
        <w:pStyle w:val="ListParagraph"/>
      </w:pPr>
      <w:r>
        <w:tab/>
      </w:r>
      <w:r w:rsidR="00923991">
        <w:t xml:space="preserve">           </w:t>
      </w:r>
      <w:r>
        <w:t>•</w:t>
      </w:r>
      <w:r>
        <w:tab/>
        <w:t>Mixed type</w:t>
      </w:r>
    </w:p>
    <w:p w14:paraId="3B88EC81" w14:textId="77777777" w:rsidR="000E3D26" w:rsidRDefault="000E3D26" w:rsidP="000E3D26">
      <w:pPr>
        <w:pStyle w:val="ListParagraph"/>
      </w:pPr>
    </w:p>
    <w:p w14:paraId="0EE5EF47" w14:textId="6E8665A2" w:rsidR="000E3D26" w:rsidRDefault="000E3D26" w:rsidP="000E3D26">
      <w:pPr>
        <w:pStyle w:val="ListParagraph"/>
      </w:pPr>
      <w:r>
        <w:t xml:space="preserve">II. Non-immune Acquired </w:t>
      </w:r>
      <w:r w:rsidR="00923991">
        <w:t>Haemolytic</w:t>
      </w:r>
      <w:r>
        <w:t xml:space="preserve"> </w:t>
      </w:r>
      <w:r w:rsidR="00923991">
        <w:t>Anaemia</w:t>
      </w:r>
      <w:r>
        <w:t xml:space="preserve"> (for differential context)</w:t>
      </w:r>
    </w:p>
    <w:p w14:paraId="2619252D" w14:textId="06F53740" w:rsidR="000E3D26" w:rsidRDefault="000E3D26" w:rsidP="000E3D26">
      <w:pPr>
        <w:pStyle w:val="ListParagraph"/>
      </w:pPr>
      <w:r>
        <w:tab/>
        <w:t>•</w:t>
      </w:r>
      <w:r>
        <w:tab/>
        <w:t xml:space="preserve">Microangiopathic </w:t>
      </w:r>
      <w:r w:rsidR="00923991">
        <w:t>haemolytic</w:t>
      </w:r>
      <w:r>
        <w:t xml:space="preserve"> </w:t>
      </w:r>
      <w:r w:rsidR="00923991">
        <w:t>anaemia</w:t>
      </w:r>
      <w:r>
        <w:t xml:space="preserve"> (HUS, DIC)</w:t>
      </w:r>
    </w:p>
    <w:p w14:paraId="2DB3F389" w14:textId="77777777" w:rsidR="000E3D26" w:rsidRDefault="000E3D26" w:rsidP="000E3D26">
      <w:pPr>
        <w:pStyle w:val="ListParagraph"/>
      </w:pPr>
      <w:r>
        <w:tab/>
        <w:t>•</w:t>
      </w:r>
      <w:r>
        <w:tab/>
        <w:t>Infections (malaria)</w:t>
      </w:r>
    </w:p>
    <w:p w14:paraId="6B928D7B" w14:textId="77777777" w:rsidR="000E3D26" w:rsidRDefault="000E3D26" w:rsidP="000E3D26">
      <w:pPr>
        <w:pStyle w:val="ListParagraph"/>
      </w:pPr>
      <w:r>
        <w:tab/>
        <w:t>•</w:t>
      </w:r>
      <w:r>
        <w:tab/>
        <w:t>Toxins</w:t>
      </w:r>
    </w:p>
    <w:p w14:paraId="17605DAD" w14:textId="704AA928" w:rsidR="004665EB" w:rsidRDefault="000E3D26" w:rsidP="000E3D26">
      <w:pPr>
        <w:pStyle w:val="ListParagraph"/>
      </w:pPr>
      <w:r>
        <w:tab/>
        <w:t>•</w:t>
      </w:r>
      <w:r>
        <w:tab/>
        <w:t>Mechanical destruction (prosthetic valves)</w:t>
      </w:r>
    </w:p>
    <w:p w14:paraId="1F3DBA71" w14:textId="77777777" w:rsidR="005219C7" w:rsidRPr="005219C7" w:rsidRDefault="005219C7" w:rsidP="005219C7">
      <w:pPr>
        <w:pStyle w:val="ListParagraph"/>
        <w:rPr>
          <w:b/>
          <w:bCs/>
        </w:rPr>
      </w:pPr>
      <w:r w:rsidRPr="005219C7">
        <w:rPr>
          <w:b/>
          <w:bCs/>
        </w:rPr>
        <w:t>2. Methodology</w:t>
      </w:r>
    </w:p>
    <w:p w14:paraId="1E263773" w14:textId="400FDDF8" w:rsidR="005219C7" w:rsidRPr="005219C7" w:rsidRDefault="005219C7" w:rsidP="005219C7">
      <w:pPr>
        <w:pStyle w:val="ListParagraph"/>
      </w:pPr>
      <w:r w:rsidRPr="005219C7">
        <w:t xml:space="preserve">To study acquired </w:t>
      </w:r>
      <w:r w:rsidR="00045F9F" w:rsidRPr="005219C7">
        <w:t>haemolytic</w:t>
      </w:r>
      <w:r w:rsidRPr="005219C7">
        <w:t xml:space="preserve"> </w:t>
      </w:r>
      <w:r w:rsidR="00045F9F" w:rsidRPr="005219C7">
        <w:t>anaemia</w:t>
      </w:r>
      <w:r w:rsidRPr="005219C7">
        <w:t xml:space="preserve"> in children, researchers typically use the following approaches:</w:t>
      </w:r>
    </w:p>
    <w:p w14:paraId="3B2A0BAC" w14:textId="77777777" w:rsidR="005219C7" w:rsidRPr="005219C7" w:rsidRDefault="005219C7" w:rsidP="005219C7">
      <w:pPr>
        <w:pStyle w:val="ListParagraph"/>
      </w:pPr>
      <w:r w:rsidRPr="005219C7">
        <w:rPr>
          <w:b/>
          <w:bCs/>
        </w:rPr>
        <w:t>a. Study Design</w:t>
      </w:r>
    </w:p>
    <w:p w14:paraId="570E979B" w14:textId="08DCAE83" w:rsidR="005219C7" w:rsidRPr="005219C7" w:rsidRDefault="005219C7" w:rsidP="005219C7">
      <w:pPr>
        <w:pStyle w:val="ListParagraph"/>
        <w:numPr>
          <w:ilvl w:val="0"/>
          <w:numId w:val="2"/>
        </w:numPr>
      </w:pPr>
      <w:r w:rsidRPr="005219C7">
        <w:rPr>
          <w:b/>
          <w:bCs/>
        </w:rPr>
        <w:t>Prospective/retrospective observational studies</w:t>
      </w:r>
      <w:r w:rsidRPr="005219C7">
        <w:t xml:space="preserve"> including children diagnosed with </w:t>
      </w:r>
      <w:r w:rsidR="00045F9F" w:rsidRPr="005219C7">
        <w:t>haemolytic</w:t>
      </w:r>
      <w:r w:rsidRPr="005219C7">
        <w:t xml:space="preserve"> </w:t>
      </w:r>
      <w:r w:rsidR="00045F9F" w:rsidRPr="005219C7">
        <w:t>anaemia</w:t>
      </w:r>
      <w:r w:rsidRPr="005219C7">
        <w:t xml:space="preserve"> based on clinical criteria and laboratory tests (e.g., </w:t>
      </w:r>
      <w:r w:rsidR="00045F9F" w:rsidRPr="005219C7">
        <w:t>haemoglobin</w:t>
      </w:r>
      <w:r w:rsidRPr="005219C7">
        <w:t xml:space="preserve"> levels, reticulocyte count, DAT). </w:t>
      </w:r>
    </w:p>
    <w:p w14:paraId="65DAF225" w14:textId="78D83EE8" w:rsidR="005219C7" w:rsidRPr="005219C7" w:rsidRDefault="005219C7" w:rsidP="005219C7">
      <w:pPr>
        <w:pStyle w:val="ListParagraph"/>
        <w:numPr>
          <w:ilvl w:val="0"/>
          <w:numId w:val="2"/>
        </w:numPr>
      </w:pPr>
      <w:r w:rsidRPr="005219C7">
        <w:rPr>
          <w:b/>
          <w:bCs/>
        </w:rPr>
        <w:t>Structured data collection</w:t>
      </w:r>
      <w:r w:rsidRPr="005219C7">
        <w:t xml:space="preserve"> from hospital records with consistent definitions for </w:t>
      </w:r>
      <w:r w:rsidR="00045F9F" w:rsidRPr="005219C7">
        <w:t>haemolysis</w:t>
      </w:r>
      <w:r w:rsidRPr="005219C7">
        <w:t xml:space="preserve"> and immune-mediated </w:t>
      </w:r>
      <w:r w:rsidR="00045F9F" w:rsidRPr="005219C7">
        <w:t>anaemia</w:t>
      </w:r>
      <w:r w:rsidRPr="005219C7">
        <w:t xml:space="preserve">. </w:t>
      </w:r>
    </w:p>
    <w:p w14:paraId="1B88514E" w14:textId="77777777" w:rsidR="005219C7" w:rsidRPr="005219C7" w:rsidRDefault="005219C7" w:rsidP="005219C7">
      <w:pPr>
        <w:pStyle w:val="ListParagraph"/>
      </w:pPr>
      <w:r w:rsidRPr="005219C7">
        <w:rPr>
          <w:b/>
          <w:bCs/>
        </w:rPr>
        <w:t>b. Inclusion Criteria</w:t>
      </w:r>
    </w:p>
    <w:p w14:paraId="57A3EB56" w14:textId="648F1764" w:rsidR="005219C7" w:rsidRPr="005219C7" w:rsidRDefault="005219C7" w:rsidP="005219C7">
      <w:pPr>
        <w:pStyle w:val="ListParagraph"/>
        <w:numPr>
          <w:ilvl w:val="0"/>
          <w:numId w:val="3"/>
        </w:numPr>
      </w:pPr>
      <w:r w:rsidRPr="005219C7">
        <w:t xml:space="preserve">Children </w:t>
      </w:r>
      <w:r w:rsidRPr="005219C7">
        <w:rPr>
          <w:b/>
          <w:bCs/>
        </w:rPr>
        <w:t>≤18 years</w:t>
      </w:r>
      <w:r w:rsidRPr="005219C7">
        <w:t xml:space="preserve"> with signs of </w:t>
      </w:r>
      <w:r w:rsidR="00045F9F" w:rsidRPr="005219C7">
        <w:t>haemolytic</w:t>
      </w:r>
      <w:r w:rsidRPr="005219C7">
        <w:t xml:space="preserve"> </w:t>
      </w:r>
      <w:r w:rsidR="00045F9F" w:rsidRPr="005219C7">
        <w:t>anaemia</w:t>
      </w:r>
      <w:r w:rsidRPr="005219C7">
        <w:t xml:space="preserve"> (low Hb, high reticulocytes, elevated bilirubin/LDH, low haptoglobin). </w:t>
      </w:r>
    </w:p>
    <w:p w14:paraId="46881F74" w14:textId="713C1C0D" w:rsidR="005219C7" w:rsidRPr="005219C7" w:rsidRDefault="005219C7" w:rsidP="005219C7">
      <w:pPr>
        <w:pStyle w:val="ListParagraph"/>
        <w:numPr>
          <w:ilvl w:val="0"/>
          <w:numId w:val="3"/>
        </w:numPr>
      </w:pPr>
      <w:r w:rsidRPr="005219C7">
        <w:t xml:space="preserve">Positive DAT or other </w:t>
      </w:r>
      <w:r w:rsidR="00045F9F" w:rsidRPr="005219C7">
        <w:t>immunopharmacological</w:t>
      </w:r>
      <w:r w:rsidRPr="005219C7">
        <w:t xml:space="preserve"> evidence of immune </w:t>
      </w:r>
      <w:r w:rsidR="00045F9F" w:rsidRPr="005219C7">
        <w:t>haemolysis</w:t>
      </w:r>
      <w:r w:rsidRPr="005219C7">
        <w:t xml:space="preserve">. </w:t>
      </w:r>
    </w:p>
    <w:p w14:paraId="487E9CE7" w14:textId="34C0FAFD" w:rsidR="00327EEA" w:rsidRDefault="005219C7" w:rsidP="00327EEA">
      <w:pPr>
        <w:pStyle w:val="ListParagraph"/>
        <w:rPr>
          <w:b/>
          <w:bCs/>
        </w:rPr>
      </w:pPr>
      <w:r w:rsidRPr="005219C7">
        <w:rPr>
          <w:b/>
          <w:bCs/>
        </w:rPr>
        <w:t>c. Data Collected</w:t>
      </w:r>
    </w:p>
    <w:p w14:paraId="1C8A6F20" w14:textId="77777777" w:rsidR="00D86534" w:rsidRDefault="00D86534" w:rsidP="00327EEA">
      <w:pPr>
        <w:pStyle w:val="ListParagraph"/>
      </w:pPr>
    </w:p>
    <w:p w14:paraId="462872F7" w14:textId="0255EE38" w:rsidR="00445A5A" w:rsidRPr="005219C7" w:rsidRDefault="00327EEA" w:rsidP="00DF4511">
      <w:pPr>
        <w:pStyle w:val="ListParagraph"/>
      </w:pPr>
      <w:r w:rsidRPr="00327EEA">
        <w:rPr>
          <w:color w:val="47D459" w:themeColor="accent3" w:themeTint="99"/>
          <w:u w:val="single"/>
        </w:rPr>
        <w:t>@International Research Journal of Modernization in Engineering, Technology and Science</w:t>
      </w:r>
    </w:p>
    <w:p w14:paraId="61E3660F" w14:textId="2F1A166E" w:rsidR="00AB6D0F" w:rsidRDefault="005219C7" w:rsidP="00D86534">
      <w:r w:rsidRPr="005219C7">
        <w:lastRenderedPageBreak/>
        <w:t xml:space="preserve"> </w:t>
      </w:r>
      <w:r w:rsidR="00AB6D0F">
        <w:rPr>
          <w:b/>
          <w:bCs/>
          <w:noProof/>
          <w:sz w:val="28"/>
          <w:szCs w:val="28"/>
        </w:rPr>
        <w:drawing>
          <wp:inline distT="0" distB="0" distL="0" distR="0" wp14:anchorId="07145D2F" wp14:editId="787F601D">
            <wp:extent cx="6137031" cy="991870"/>
            <wp:effectExtent l="0" t="0" r="0" b="0"/>
            <wp:docPr id="146006839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6399" cy="1032173"/>
                    </a:xfrm>
                    <a:prstGeom prst="rect">
                      <a:avLst/>
                    </a:prstGeom>
                    <a:noFill/>
                  </pic:spPr>
                </pic:pic>
              </a:graphicData>
            </a:graphic>
          </wp:inline>
        </w:drawing>
      </w:r>
    </w:p>
    <w:p w14:paraId="282B4A44" w14:textId="23CBF0D8" w:rsidR="005219C7" w:rsidRPr="005219C7" w:rsidRDefault="005219C7" w:rsidP="005219C7">
      <w:pPr>
        <w:pStyle w:val="ListParagraph"/>
        <w:numPr>
          <w:ilvl w:val="0"/>
          <w:numId w:val="4"/>
        </w:numPr>
      </w:pPr>
      <w:r w:rsidRPr="005219C7">
        <w:t>Laboratory findings (Hb, DAT, reticulocyte count, bilirubin, LDH)</w:t>
      </w:r>
    </w:p>
    <w:p w14:paraId="1FCCD6E4" w14:textId="77777777" w:rsidR="005219C7" w:rsidRPr="005219C7" w:rsidRDefault="005219C7" w:rsidP="005219C7">
      <w:pPr>
        <w:pStyle w:val="ListParagraph"/>
        <w:numPr>
          <w:ilvl w:val="0"/>
          <w:numId w:val="4"/>
        </w:numPr>
      </w:pPr>
      <w:r w:rsidRPr="005219C7">
        <w:t>Triggers (infection, autoimmune disease, drugs)</w:t>
      </w:r>
    </w:p>
    <w:p w14:paraId="105CA78C" w14:textId="77777777" w:rsidR="005219C7" w:rsidRPr="005219C7" w:rsidRDefault="005219C7" w:rsidP="005219C7">
      <w:pPr>
        <w:pStyle w:val="ListParagraph"/>
        <w:numPr>
          <w:ilvl w:val="0"/>
          <w:numId w:val="4"/>
        </w:numPr>
      </w:pPr>
      <w:r w:rsidRPr="005219C7">
        <w:t>Treatment modalities (steroids, IVIG, rituximab, supportive care)</w:t>
      </w:r>
    </w:p>
    <w:p w14:paraId="4D945A9C" w14:textId="77777777" w:rsidR="005219C7" w:rsidRPr="005219C7" w:rsidRDefault="005219C7" w:rsidP="005219C7">
      <w:pPr>
        <w:pStyle w:val="ListParagraph"/>
        <w:numPr>
          <w:ilvl w:val="0"/>
          <w:numId w:val="4"/>
        </w:numPr>
      </w:pPr>
      <w:r w:rsidRPr="005219C7">
        <w:t xml:space="preserve">Outcomes (remission, treatment response, complications). </w:t>
      </w:r>
    </w:p>
    <w:p w14:paraId="4F64E7B7" w14:textId="7267A973" w:rsidR="005219C7" w:rsidRPr="005219C7" w:rsidRDefault="005219C7" w:rsidP="005219C7">
      <w:pPr>
        <w:pStyle w:val="ListParagraph"/>
      </w:pPr>
    </w:p>
    <w:p w14:paraId="6D1A3789" w14:textId="77777777" w:rsidR="005219C7" w:rsidRPr="005219C7" w:rsidRDefault="005219C7" w:rsidP="005219C7">
      <w:pPr>
        <w:pStyle w:val="ListParagraph"/>
        <w:rPr>
          <w:b/>
          <w:bCs/>
        </w:rPr>
      </w:pPr>
      <w:r w:rsidRPr="005219C7">
        <w:rPr>
          <w:b/>
          <w:bCs/>
        </w:rPr>
        <w:t>3. Results</w:t>
      </w:r>
    </w:p>
    <w:p w14:paraId="21D17DBB" w14:textId="28DE375F" w:rsidR="005219C7" w:rsidRPr="005219C7" w:rsidRDefault="005219C7" w:rsidP="005219C7">
      <w:pPr>
        <w:pStyle w:val="ListParagraph"/>
      </w:pPr>
      <w:r w:rsidRPr="005219C7">
        <w:t xml:space="preserve">Across multiple </w:t>
      </w:r>
      <w:r w:rsidR="004C2CBF" w:rsidRPr="005219C7">
        <w:t>paediatric</w:t>
      </w:r>
      <w:r w:rsidRPr="005219C7">
        <w:t xml:space="preserve"> studies of acquired </w:t>
      </w:r>
      <w:r w:rsidR="004C2CBF" w:rsidRPr="005219C7">
        <w:t>haemolytic</w:t>
      </w:r>
      <w:r w:rsidRPr="005219C7">
        <w:t xml:space="preserve"> </w:t>
      </w:r>
      <w:r w:rsidR="004C2CBF" w:rsidRPr="005219C7">
        <w:t>anaemia</w:t>
      </w:r>
      <w:r w:rsidRPr="005219C7">
        <w:t>:</w:t>
      </w:r>
    </w:p>
    <w:p w14:paraId="7CD12541" w14:textId="77777777" w:rsidR="005219C7" w:rsidRPr="005219C7" w:rsidRDefault="005219C7" w:rsidP="005219C7">
      <w:pPr>
        <w:pStyle w:val="ListParagraph"/>
      </w:pPr>
      <w:r w:rsidRPr="005219C7">
        <w:rPr>
          <w:b/>
          <w:bCs/>
        </w:rPr>
        <w:t>a. Epidemiology &amp; Clinical Presentation</w:t>
      </w:r>
    </w:p>
    <w:p w14:paraId="7E8F22E6" w14:textId="382ED42D" w:rsidR="005219C7" w:rsidRPr="005219C7" w:rsidRDefault="005219C7" w:rsidP="005219C7">
      <w:pPr>
        <w:pStyle w:val="ListParagraph"/>
        <w:numPr>
          <w:ilvl w:val="0"/>
          <w:numId w:val="5"/>
        </w:numPr>
      </w:pPr>
      <w:r w:rsidRPr="005219C7">
        <w:t xml:space="preserve">AIHA is </w:t>
      </w:r>
      <w:r w:rsidRPr="005219C7">
        <w:rPr>
          <w:b/>
          <w:bCs/>
        </w:rPr>
        <w:t>rare in children</w:t>
      </w:r>
      <w:r w:rsidRPr="005219C7">
        <w:t xml:space="preserve"> but is an important acquired cause of </w:t>
      </w:r>
      <w:r w:rsidR="004C2CBF" w:rsidRPr="005219C7">
        <w:t>haemolysis</w:t>
      </w:r>
      <w:r w:rsidRPr="005219C7">
        <w:t xml:space="preserve">. </w:t>
      </w:r>
    </w:p>
    <w:p w14:paraId="543ACE29" w14:textId="1D0E75E1" w:rsidR="005219C7" w:rsidRPr="005219C7" w:rsidRDefault="005219C7" w:rsidP="005219C7">
      <w:pPr>
        <w:pStyle w:val="ListParagraph"/>
        <w:numPr>
          <w:ilvl w:val="0"/>
          <w:numId w:val="5"/>
        </w:numPr>
      </w:pPr>
      <w:r w:rsidRPr="005219C7">
        <w:t xml:space="preserve">Presenting features commonly include </w:t>
      </w:r>
      <w:r w:rsidRPr="005219C7">
        <w:rPr>
          <w:b/>
          <w:bCs/>
        </w:rPr>
        <w:t xml:space="preserve">severe </w:t>
      </w:r>
      <w:r w:rsidR="004C2CBF" w:rsidRPr="005219C7">
        <w:rPr>
          <w:b/>
          <w:bCs/>
        </w:rPr>
        <w:t>anaemia</w:t>
      </w:r>
      <w:r w:rsidRPr="005219C7">
        <w:rPr>
          <w:b/>
          <w:bCs/>
        </w:rPr>
        <w:t>, pallor, jaundice, and splenomegaly</w:t>
      </w:r>
      <w:r w:rsidRPr="005219C7">
        <w:t xml:space="preserve">. </w:t>
      </w:r>
    </w:p>
    <w:p w14:paraId="6F03D76E" w14:textId="77777777" w:rsidR="005219C7" w:rsidRPr="005219C7" w:rsidRDefault="005219C7" w:rsidP="005219C7">
      <w:pPr>
        <w:pStyle w:val="ListParagraph"/>
        <w:numPr>
          <w:ilvl w:val="0"/>
          <w:numId w:val="5"/>
        </w:numPr>
      </w:pPr>
      <w:r w:rsidRPr="005219C7">
        <w:t xml:space="preserve">Positive DAT is found in most cases (often IgG and/or complement). </w:t>
      </w:r>
    </w:p>
    <w:p w14:paraId="016C7D51" w14:textId="77777777" w:rsidR="005219C7" w:rsidRPr="005219C7" w:rsidRDefault="005219C7" w:rsidP="005219C7">
      <w:pPr>
        <w:pStyle w:val="ListParagraph"/>
      </w:pPr>
      <w:r w:rsidRPr="005219C7">
        <w:rPr>
          <w:b/>
          <w:bCs/>
        </w:rPr>
        <w:t>b. Triggers &amp; Classification</w:t>
      </w:r>
    </w:p>
    <w:p w14:paraId="3A1044B3" w14:textId="77777777" w:rsidR="005219C7" w:rsidRPr="005219C7" w:rsidRDefault="005219C7" w:rsidP="005219C7">
      <w:pPr>
        <w:pStyle w:val="ListParagraph"/>
        <w:numPr>
          <w:ilvl w:val="0"/>
          <w:numId w:val="6"/>
        </w:numPr>
      </w:pPr>
      <w:r w:rsidRPr="005219C7">
        <w:t xml:space="preserve">Secondary causes such as </w:t>
      </w:r>
      <w:r w:rsidRPr="005219C7">
        <w:rPr>
          <w:b/>
          <w:bCs/>
        </w:rPr>
        <w:t>systemic lupus erythematosus (SLE)</w:t>
      </w:r>
      <w:r w:rsidRPr="005219C7">
        <w:t xml:space="preserve">, infections, or malignancies are frequent. </w:t>
      </w:r>
    </w:p>
    <w:p w14:paraId="1D284A51" w14:textId="50EF6604" w:rsidR="005219C7" w:rsidRPr="005219C7" w:rsidRDefault="005219C7" w:rsidP="005219C7">
      <w:pPr>
        <w:pStyle w:val="ListParagraph"/>
        <w:numPr>
          <w:ilvl w:val="0"/>
          <w:numId w:val="6"/>
        </w:numPr>
      </w:pPr>
      <w:r w:rsidRPr="005219C7">
        <w:t xml:space="preserve">Warm AIHA is most common, followed by cold agglutinin syndrome and paroxysmal cold </w:t>
      </w:r>
      <w:r w:rsidR="004C2CBF" w:rsidRPr="005219C7">
        <w:t>haemoglobinuria</w:t>
      </w:r>
      <w:r w:rsidRPr="005219C7">
        <w:t xml:space="preserve"> (PCH). </w:t>
      </w:r>
    </w:p>
    <w:p w14:paraId="2DB7C8B6" w14:textId="77777777" w:rsidR="005219C7" w:rsidRPr="005219C7" w:rsidRDefault="005219C7" w:rsidP="005219C7">
      <w:pPr>
        <w:pStyle w:val="ListParagraph"/>
      </w:pPr>
      <w:r w:rsidRPr="005219C7">
        <w:rPr>
          <w:b/>
          <w:bCs/>
        </w:rPr>
        <w:t>c. Treatment &amp; Outcomes</w:t>
      </w:r>
    </w:p>
    <w:p w14:paraId="7E9BCC4C" w14:textId="77777777" w:rsidR="005219C7" w:rsidRPr="005219C7" w:rsidRDefault="005219C7" w:rsidP="005219C7">
      <w:pPr>
        <w:pStyle w:val="ListParagraph"/>
        <w:numPr>
          <w:ilvl w:val="0"/>
          <w:numId w:val="7"/>
        </w:numPr>
      </w:pPr>
      <w:r w:rsidRPr="005219C7">
        <w:rPr>
          <w:b/>
          <w:bCs/>
        </w:rPr>
        <w:t>Steroids</w:t>
      </w:r>
      <w:r w:rsidRPr="005219C7">
        <w:t xml:space="preserve"> (e.g., prednisolone) are the mainstay first-line therapy. </w:t>
      </w:r>
    </w:p>
    <w:p w14:paraId="39F98C2D" w14:textId="77777777" w:rsidR="005219C7" w:rsidRPr="005219C7" w:rsidRDefault="005219C7" w:rsidP="005219C7">
      <w:pPr>
        <w:pStyle w:val="ListParagraph"/>
        <w:numPr>
          <w:ilvl w:val="0"/>
          <w:numId w:val="7"/>
        </w:numPr>
      </w:pPr>
      <w:r w:rsidRPr="005219C7">
        <w:t xml:space="preserve">Second-line agents include </w:t>
      </w:r>
      <w:r w:rsidRPr="005219C7">
        <w:rPr>
          <w:b/>
          <w:bCs/>
        </w:rPr>
        <w:t>cyclosporine, rituximab</w:t>
      </w:r>
      <w:r w:rsidRPr="005219C7">
        <w:t xml:space="preserve">, and </w:t>
      </w:r>
      <w:r w:rsidRPr="005219C7">
        <w:rPr>
          <w:b/>
          <w:bCs/>
        </w:rPr>
        <w:t>IVIG</w:t>
      </w:r>
      <w:r w:rsidRPr="005219C7">
        <w:t xml:space="preserve"> for refractory disease. </w:t>
      </w:r>
    </w:p>
    <w:p w14:paraId="35836AE6" w14:textId="77777777" w:rsidR="005219C7" w:rsidRPr="005219C7" w:rsidRDefault="005219C7" w:rsidP="005219C7">
      <w:pPr>
        <w:pStyle w:val="ListParagraph"/>
        <w:numPr>
          <w:ilvl w:val="0"/>
          <w:numId w:val="7"/>
        </w:numPr>
      </w:pPr>
      <w:r w:rsidRPr="005219C7">
        <w:t xml:space="preserve">Response rates vary; some children achieve remission, others remain treatment-dependent, and a small percentage may have severe outcomes. </w:t>
      </w:r>
    </w:p>
    <w:p w14:paraId="0DA8B726" w14:textId="0B297528" w:rsidR="005219C7" w:rsidRPr="005219C7" w:rsidRDefault="005219C7" w:rsidP="005219C7">
      <w:pPr>
        <w:pStyle w:val="ListParagraph"/>
      </w:pPr>
    </w:p>
    <w:p w14:paraId="1C86EC1F" w14:textId="77777777" w:rsidR="005219C7" w:rsidRPr="005219C7" w:rsidRDefault="005219C7" w:rsidP="005219C7">
      <w:pPr>
        <w:pStyle w:val="ListParagraph"/>
        <w:rPr>
          <w:b/>
          <w:bCs/>
        </w:rPr>
      </w:pPr>
      <w:r w:rsidRPr="005219C7">
        <w:rPr>
          <w:b/>
          <w:bCs/>
        </w:rPr>
        <w:t>4. Conclusion</w:t>
      </w:r>
    </w:p>
    <w:p w14:paraId="7F1D2764" w14:textId="11346E4E" w:rsidR="005219C7" w:rsidRDefault="005219C7" w:rsidP="005219C7">
      <w:pPr>
        <w:pStyle w:val="ListParagraph"/>
      </w:pPr>
      <w:r w:rsidRPr="005219C7">
        <w:t xml:space="preserve">Acquired </w:t>
      </w:r>
      <w:r w:rsidR="004C2CBF" w:rsidRPr="005219C7">
        <w:t>haemolytic</w:t>
      </w:r>
      <w:r w:rsidRPr="005219C7">
        <w:t xml:space="preserve"> </w:t>
      </w:r>
      <w:r w:rsidR="004C2CBF" w:rsidRPr="005219C7">
        <w:t>anaemia</w:t>
      </w:r>
      <w:r w:rsidRPr="005219C7">
        <w:t xml:space="preserve"> in children — particularly autoimmune </w:t>
      </w:r>
      <w:r w:rsidR="004C2CBF" w:rsidRPr="005219C7">
        <w:t>haemolytic</w:t>
      </w:r>
      <w:r w:rsidRPr="005219C7">
        <w:t xml:space="preserve"> </w:t>
      </w:r>
      <w:r w:rsidR="004C2CBF" w:rsidRPr="005219C7">
        <w:t>anaemia</w:t>
      </w:r>
      <w:r w:rsidRPr="005219C7">
        <w:t xml:space="preserve"> — represents a complex, immune-mediated condition with diverse triggers and heterogeneous clinical courses. Diagnosis is based on clinical suspicion and </w:t>
      </w:r>
      <w:r w:rsidR="004C2CBF">
        <w:t xml:space="preserve">immune </w:t>
      </w:r>
      <w:r w:rsidR="004C2CBF" w:rsidRPr="005219C7">
        <w:t>haematological</w:t>
      </w:r>
      <w:r w:rsidRPr="005219C7">
        <w:t xml:space="preserve"> confirmation (DAT). Early recognition and appropriate immunosuppressive treatment improve outcomes, though standardized </w:t>
      </w:r>
      <w:r w:rsidR="004C2CBF" w:rsidRPr="005219C7">
        <w:t>paediatric</w:t>
      </w:r>
      <w:r w:rsidRPr="005219C7">
        <w:t xml:space="preserve"> consensus guidelines are still needed due to limited high-quality evidence. </w:t>
      </w:r>
    </w:p>
    <w:p w14:paraId="35A106C2" w14:textId="77777777" w:rsidR="00B91A02" w:rsidRPr="005219C7" w:rsidRDefault="00B91A02" w:rsidP="005219C7">
      <w:pPr>
        <w:pStyle w:val="ListParagraph"/>
      </w:pPr>
    </w:p>
    <w:p w14:paraId="6975DF4A" w14:textId="3E105BC5" w:rsidR="00B91A02" w:rsidRPr="00B91A02" w:rsidRDefault="00FF4C63" w:rsidP="00B91A02">
      <w:pPr>
        <w:pStyle w:val="ListParagraph"/>
        <w:rPr>
          <w:b/>
          <w:bCs/>
        </w:rPr>
      </w:pPr>
      <w:r w:rsidRPr="00B91A02">
        <w:rPr>
          <w:b/>
          <w:bCs/>
        </w:rPr>
        <w:t>5.REF</w:t>
      </w:r>
      <w:r w:rsidR="00B91A02" w:rsidRPr="00B91A02">
        <w:rPr>
          <w:b/>
          <w:bCs/>
        </w:rPr>
        <w:t>ERENCE</w:t>
      </w:r>
    </w:p>
    <w:p w14:paraId="3A82BF73" w14:textId="77777777" w:rsidR="00FF4C63" w:rsidRDefault="00FF4C63" w:rsidP="005623C9">
      <w:pPr>
        <w:pStyle w:val="ListParagraph"/>
        <w:jc w:val="both"/>
      </w:pPr>
      <w:r>
        <w:t>1.</w:t>
      </w:r>
      <w:r>
        <w:tab/>
        <w:t xml:space="preserve">Autoimmune </w:t>
      </w:r>
      <w:proofErr w:type="spellStart"/>
      <w:r>
        <w:t>hemolytic</w:t>
      </w:r>
      <w:proofErr w:type="spellEnd"/>
      <w:r>
        <w:t xml:space="preserve"> </w:t>
      </w:r>
      <w:proofErr w:type="spellStart"/>
      <w:r>
        <w:t>anemia</w:t>
      </w:r>
      <w:proofErr w:type="spellEnd"/>
      <w:r>
        <w:t xml:space="preserve"> in children — Naithani et al.</w:t>
      </w:r>
    </w:p>
    <w:p w14:paraId="44F76177" w14:textId="7AD39E34" w:rsidR="00FF4C63" w:rsidRDefault="00B91A02" w:rsidP="005623C9">
      <w:pPr>
        <w:pStyle w:val="ListParagraph"/>
        <w:jc w:val="both"/>
      </w:pPr>
      <w:r>
        <w:t xml:space="preserve">https://pubmed.ncbi.nlm.nih.gov/17613874/ </w:t>
      </w:r>
    </w:p>
    <w:p w14:paraId="6162DF08" w14:textId="77777777" w:rsidR="00FF4C63" w:rsidRDefault="00FF4C63" w:rsidP="005623C9">
      <w:pPr>
        <w:pStyle w:val="ListParagraph"/>
        <w:jc w:val="both"/>
      </w:pPr>
      <w:r>
        <w:tab/>
        <w:t>2.</w:t>
      </w:r>
      <w:r>
        <w:tab/>
        <w:t xml:space="preserve">Autoimmune </w:t>
      </w:r>
      <w:proofErr w:type="spellStart"/>
      <w:r>
        <w:t>Hemolytic</w:t>
      </w:r>
      <w:proofErr w:type="spellEnd"/>
      <w:r>
        <w:t xml:space="preserve"> </w:t>
      </w:r>
      <w:proofErr w:type="spellStart"/>
      <w:r>
        <w:t>Anemia</w:t>
      </w:r>
      <w:proofErr w:type="spellEnd"/>
      <w:r>
        <w:t xml:space="preserve"> in the </w:t>
      </w:r>
      <w:proofErr w:type="spellStart"/>
      <w:r>
        <w:t>Pediatric</w:t>
      </w:r>
      <w:proofErr w:type="spellEnd"/>
      <w:r>
        <w:t xml:space="preserve"> Setting — </w:t>
      </w:r>
      <w:proofErr w:type="spellStart"/>
      <w:r>
        <w:t>Voulgaridou</w:t>
      </w:r>
      <w:proofErr w:type="spellEnd"/>
      <w:r>
        <w:t xml:space="preserve"> &amp; Kalfa, 2021.</w:t>
      </w:r>
    </w:p>
    <w:p w14:paraId="291316B7" w14:textId="164E2611" w:rsidR="00FF4C63" w:rsidRDefault="00FF4C63" w:rsidP="005623C9">
      <w:pPr>
        <w:pStyle w:val="ListParagraph"/>
        <w:jc w:val="both"/>
      </w:pPr>
      <w:r>
        <w:t xml:space="preserve">https://pubmed.ncbi.nlm.nih.gov/33435309/ </w:t>
      </w:r>
    </w:p>
    <w:p w14:paraId="5C5B3808" w14:textId="77777777" w:rsidR="00FF4C63" w:rsidRDefault="00FF4C63" w:rsidP="005623C9">
      <w:pPr>
        <w:pStyle w:val="ListParagraph"/>
        <w:jc w:val="both"/>
      </w:pPr>
      <w:r>
        <w:tab/>
        <w:t>3.</w:t>
      </w:r>
      <w:r>
        <w:tab/>
        <w:t xml:space="preserve">Childhood autoimmune </w:t>
      </w:r>
      <w:proofErr w:type="spellStart"/>
      <w:r>
        <w:t>hemolytic</w:t>
      </w:r>
      <w:proofErr w:type="spellEnd"/>
      <w:r>
        <w:t xml:space="preserve"> </w:t>
      </w:r>
      <w:proofErr w:type="spellStart"/>
      <w:r>
        <w:t>anemia</w:t>
      </w:r>
      <w:proofErr w:type="spellEnd"/>
      <w:r>
        <w:t>: A scoping review — Zhang et al., 2024.</w:t>
      </w:r>
    </w:p>
    <w:p w14:paraId="328164AC" w14:textId="4F171A3D" w:rsidR="00FF4C63" w:rsidRDefault="00FF4C63" w:rsidP="005623C9">
      <w:pPr>
        <w:pStyle w:val="ListParagraph"/>
        <w:jc w:val="both"/>
      </w:pPr>
      <w:r>
        <w:t xml:space="preserve">https://pubmed.ncbi.nlm.nih.gov/38894537/  </w:t>
      </w:r>
    </w:p>
    <w:p w14:paraId="28FFE531" w14:textId="77777777" w:rsidR="00FF4C63" w:rsidRDefault="00FF4C63" w:rsidP="005623C9">
      <w:pPr>
        <w:pStyle w:val="ListParagraph"/>
        <w:jc w:val="both"/>
      </w:pPr>
      <w:r>
        <w:tab/>
        <w:t>4.</w:t>
      </w:r>
      <w:r>
        <w:tab/>
        <w:t xml:space="preserve">Reliable assessment of the incidence of childhood AIHA — </w:t>
      </w:r>
      <w:proofErr w:type="spellStart"/>
      <w:r>
        <w:t>Aladjidi</w:t>
      </w:r>
      <w:proofErr w:type="spellEnd"/>
      <w:r>
        <w:t xml:space="preserve"> et al., 2017.</w:t>
      </w:r>
    </w:p>
    <w:p w14:paraId="51AAE281" w14:textId="27A6A0C6" w:rsidR="0006785F" w:rsidRDefault="0006785F" w:rsidP="0006785F">
      <w:pPr>
        <w:pStyle w:val="ListParagraph"/>
      </w:pPr>
      <w:r w:rsidRPr="00327EEA">
        <w:rPr>
          <w:color w:val="47D459" w:themeColor="accent3" w:themeTint="99"/>
          <w:u w:val="single"/>
        </w:rPr>
        <w:t>@International Research Journal of Modernization in Engineering, Technology and Science</w:t>
      </w:r>
    </w:p>
    <w:p w14:paraId="44DC5936" w14:textId="22EFE6BA" w:rsidR="006722F6" w:rsidRDefault="006722F6" w:rsidP="006722F6">
      <w:pPr>
        <w:pStyle w:val="ListParagraph"/>
        <w:jc w:val="both"/>
      </w:pPr>
      <w:r>
        <w:rPr>
          <w:b/>
          <w:bCs/>
          <w:noProof/>
          <w:sz w:val="28"/>
          <w:szCs w:val="28"/>
        </w:rPr>
        <w:lastRenderedPageBreak/>
        <w:drawing>
          <wp:inline distT="0" distB="0" distL="0" distR="0" wp14:anchorId="3530B16A" wp14:editId="04335BE1">
            <wp:extent cx="6326643" cy="933597"/>
            <wp:effectExtent l="0" t="0" r="0" b="0"/>
            <wp:docPr id="213439160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60203" cy="968062"/>
                    </a:xfrm>
                    <a:prstGeom prst="rect">
                      <a:avLst/>
                    </a:prstGeom>
                    <a:noFill/>
                  </pic:spPr>
                </pic:pic>
              </a:graphicData>
            </a:graphic>
          </wp:inline>
        </w:drawing>
      </w:r>
    </w:p>
    <w:p w14:paraId="638A1B20" w14:textId="09BA22F9" w:rsidR="00FF4C63" w:rsidRDefault="00FF4C63" w:rsidP="005623C9">
      <w:pPr>
        <w:pStyle w:val="ListParagraph"/>
        <w:jc w:val="both"/>
      </w:pPr>
      <w:r>
        <w:tab/>
        <w:t>5.</w:t>
      </w:r>
      <w:r>
        <w:tab/>
        <w:t xml:space="preserve">Autoimmune </w:t>
      </w:r>
      <w:proofErr w:type="spellStart"/>
      <w:r>
        <w:t>hemolytic</w:t>
      </w:r>
      <w:proofErr w:type="spellEnd"/>
      <w:r>
        <w:t xml:space="preserve"> </w:t>
      </w:r>
      <w:proofErr w:type="spellStart"/>
      <w:r>
        <w:t>anemia</w:t>
      </w:r>
      <w:proofErr w:type="spellEnd"/>
      <w:r>
        <w:t xml:space="preserve"> in childhood: Serologic features — Vaglio et al., 2007.</w:t>
      </w:r>
    </w:p>
    <w:p w14:paraId="443F9056" w14:textId="44D10DA0" w:rsidR="00FF4C63" w:rsidRDefault="00FF4C63" w:rsidP="005623C9">
      <w:pPr>
        <w:pStyle w:val="ListParagraph"/>
        <w:jc w:val="both"/>
      </w:pPr>
      <w:r>
        <w:t xml:space="preserve">https://pubmed.ncbi.nlm.nih.gov/17207229/  </w:t>
      </w:r>
    </w:p>
    <w:p w14:paraId="55911ACB" w14:textId="77777777" w:rsidR="00FF4C63" w:rsidRDefault="00FF4C63" w:rsidP="005623C9">
      <w:pPr>
        <w:pStyle w:val="ListParagraph"/>
        <w:jc w:val="both"/>
      </w:pPr>
      <w:r>
        <w:tab/>
        <w:t>6.</w:t>
      </w:r>
      <w:r>
        <w:tab/>
        <w:t xml:space="preserve">New insights into childhood autoimmune </w:t>
      </w:r>
      <w:proofErr w:type="spellStart"/>
      <w:r>
        <w:t>hemolytic</w:t>
      </w:r>
      <w:proofErr w:type="spellEnd"/>
      <w:r>
        <w:t xml:space="preserve"> </w:t>
      </w:r>
      <w:proofErr w:type="spellStart"/>
      <w:r>
        <w:t>anemia</w:t>
      </w:r>
      <w:proofErr w:type="spellEnd"/>
      <w:r>
        <w:t xml:space="preserve"> — </w:t>
      </w:r>
      <w:proofErr w:type="spellStart"/>
      <w:r>
        <w:t>Aladjidi</w:t>
      </w:r>
      <w:proofErr w:type="spellEnd"/>
      <w:r>
        <w:t xml:space="preserve"> et al. (PMCID version).</w:t>
      </w:r>
    </w:p>
    <w:p w14:paraId="3ABDB8A2" w14:textId="0291FB08" w:rsidR="00FF4C63" w:rsidRDefault="00FF4C63" w:rsidP="005623C9">
      <w:pPr>
        <w:pStyle w:val="ListParagraph"/>
        <w:jc w:val="both"/>
      </w:pPr>
      <w:r>
        <w:t xml:space="preserve">https://pubmed.ncbi.nlm.nih.gov/21228033/ </w:t>
      </w:r>
    </w:p>
    <w:p w14:paraId="3A1D645F" w14:textId="77777777" w:rsidR="00FF4C63" w:rsidRDefault="00FF4C63" w:rsidP="005623C9">
      <w:pPr>
        <w:jc w:val="both"/>
      </w:pPr>
      <w:r>
        <w:tab/>
        <w:t>7.</w:t>
      </w:r>
      <w:r>
        <w:tab/>
        <w:t xml:space="preserve">Autoimmune </w:t>
      </w:r>
      <w:proofErr w:type="spellStart"/>
      <w:r>
        <w:t>hemolytic</w:t>
      </w:r>
      <w:proofErr w:type="spellEnd"/>
      <w:r>
        <w:t xml:space="preserve"> </w:t>
      </w:r>
      <w:proofErr w:type="spellStart"/>
      <w:r>
        <w:t>anemia</w:t>
      </w:r>
      <w:proofErr w:type="spellEnd"/>
      <w:r>
        <w:t xml:space="preserve"> with Evans syndrome in children — example article (Egyptian cohort)</w:t>
      </w:r>
    </w:p>
    <w:p w14:paraId="14A0517A" w14:textId="1D96F5FB" w:rsidR="00FF4C63" w:rsidRDefault="00FF4C63" w:rsidP="005623C9">
      <w:pPr>
        <w:pStyle w:val="ListParagraph"/>
        <w:jc w:val="both"/>
      </w:pPr>
      <w:r>
        <w:t xml:space="preserve">https://pubmed.ncbi.nlm.nih.gov/37093240/ </w:t>
      </w:r>
    </w:p>
    <w:p w14:paraId="65627B4D" w14:textId="77777777" w:rsidR="00FF4C63" w:rsidRDefault="00FF4C63" w:rsidP="005623C9">
      <w:pPr>
        <w:pStyle w:val="ListParagraph"/>
        <w:jc w:val="both"/>
      </w:pPr>
      <w:r>
        <w:tab/>
        <w:t>8.</w:t>
      </w:r>
      <w:r>
        <w:tab/>
      </w:r>
      <w:proofErr w:type="spellStart"/>
      <w:r>
        <w:t>Pediatric</w:t>
      </w:r>
      <w:proofErr w:type="spellEnd"/>
      <w:r>
        <w:t xml:space="preserve"> AIHA and outcomes (</w:t>
      </w:r>
      <w:proofErr w:type="spellStart"/>
      <w:r>
        <w:t>Transfus</w:t>
      </w:r>
      <w:proofErr w:type="spellEnd"/>
      <w:r>
        <w:t xml:space="preserve"> Clin </w:t>
      </w:r>
      <w:proofErr w:type="spellStart"/>
      <w:r>
        <w:t>Biol</w:t>
      </w:r>
      <w:proofErr w:type="spellEnd"/>
      <w:r>
        <w:t>)</w:t>
      </w:r>
    </w:p>
    <w:p w14:paraId="0E212BD7" w14:textId="6F5B1F0E" w:rsidR="00FF4C63" w:rsidRDefault="00FF4C63" w:rsidP="005623C9">
      <w:pPr>
        <w:pStyle w:val="ListParagraph"/>
        <w:jc w:val="both"/>
      </w:pPr>
      <w:r>
        <w:t xml:space="preserve">https://pubmed.ncbi.nlm.nih.gov/32176431/ </w:t>
      </w:r>
    </w:p>
    <w:p w14:paraId="299B9C0B" w14:textId="77777777" w:rsidR="00FF4C63" w:rsidRDefault="00FF4C63" w:rsidP="005623C9">
      <w:pPr>
        <w:pStyle w:val="ListParagraph"/>
        <w:jc w:val="both"/>
      </w:pPr>
      <w:r>
        <w:tab/>
        <w:t>9.</w:t>
      </w:r>
      <w:r>
        <w:tab/>
        <w:t xml:space="preserve">Management of autoimmune </w:t>
      </w:r>
      <w:proofErr w:type="spellStart"/>
      <w:r>
        <w:t>hemolytic</w:t>
      </w:r>
      <w:proofErr w:type="spellEnd"/>
      <w:r>
        <w:t xml:space="preserve"> </w:t>
      </w:r>
      <w:proofErr w:type="spellStart"/>
      <w:r>
        <w:t>anemia</w:t>
      </w:r>
      <w:proofErr w:type="spellEnd"/>
      <w:r>
        <w:t xml:space="preserve"> in children</w:t>
      </w:r>
    </w:p>
    <w:p w14:paraId="51BE09AB" w14:textId="7E1AE9B4" w:rsidR="00FF4C63" w:rsidRDefault="00FF4C63" w:rsidP="005623C9">
      <w:pPr>
        <w:pStyle w:val="ListParagraph"/>
        <w:jc w:val="both"/>
      </w:pPr>
      <w:r>
        <w:t xml:space="preserve">https://pubmed.ncbi.nlm.nih.gov/31779415/ </w:t>
      </w:r>
    </w:p>
    <w:p w14:paraId="0285BD64" w14:textId="77777777" w:rsidR="00FF4C63" w:rsidRDefault="00FF4C63" w:rsidP="005623C9">
      <w:pPr>
        <w:pStyle w:val="ListParagraph"/>
        <w:jc w:val="both"/>
      </w:pPr>
      <w:r>
        <w:tab/>
        <w:t>10.</w:t>
      </w:r>
      <w:r>
        <w:tab/>
        <w:t>AIHA in children: treatment and follow-up</w:t>
      </w:r>
    </w:p>
    <w:p w14:paraId="5FBF57C1" w14:textId="209115DC" w:rsidR="00FF4C63" w:rsidRDefault="00FF4C63" w:rsidP="005623C9">
      <w:pPr>
        <w:pStyle w:val="ListParagraph"/>
        <w:jc w:val="both"/>
      </w:pPr>
      <w:r>
        <w:t xml:space="preserve">https://pubmed.ncbi.nlm.nih.gov/29415432/ </w:t>
      </w:r>
    </w:p>
    <w:p w14:paraId="4A966A52" w14:textId="77777777" w:rsidR="00FF4C63" w:rsidRDefault="00FF4C63" w:rsidP="005623C9">
      <w:pPr>
        <w:pStyle w:val="ListParagraph"/>
        <w:jc w:val="both"/>
      </w:pPr>
      <w:r>
        <w:tab/>
        <w:t>11.</w:t>
      </w:r>
      <w:r>
        <w:tab/>
        <w:t xml:space="preserve">Rituximab in refractory </w:t>
      </w:r>
      <w:proofErr w:type="spellStart"/>
      <w:r>
        <w:t>pediatric</w:t>
      </w:r>
      <w:proofErr w:type="spellEnd"/>
      <w:r>
        <w:t xml:space="preserve"> autoimmune </w:t>
      </w:r>
      <w:proofErr w:type="spellStart"/>
      <w:r>
        <w:t>hemolytic</w:t>
      </w:r>
      <w:proofErr w:type="spellEnd"/>
      <w:r>
        <w:t xml:space="preserve"> </w:t>
      </w:r>
      <w:proofErr w:type="spellStart"/>
      <w:r>
        <w:t>anemia</w:t>
      </w:r>
      <w:proofErr w:type="spellEnd"/>
    </w:p>
    <w:p w14:paraId="0779A927" w14:textId="79006831" w:rsidR="00FF4C63" w:rsidRDefault="00FF4C63" w:rsidP="005623C9">
      <w:pPr>
        <w:pStyle w:val="ListParagraph"/>
        <w:jc w:val="both"/>
      </w:pPr>
      <w:r>
        <w:t xml:space="preserve">https://pubmed.ncbi.nlm.nih.gov/15277199/  </w:t>
      </w:r>
    </w:p>
    <w:p w14:paraId="615AFD15" w14:textId="77777777" w:rsidR="00FF4C63" w:rsidRDefault="00FF4C63" w:rsidP="005623C9">
      <w:pPr>
        <w:pStyle w:val="ListParagraph"/>
        <w:jc w:val="both"/>
      </w:pPr>
      <w:r>
        <w:tab/>
        <w:t>12.</w:t>
      </w:r>
      <w:r>
        <w:tab/>
        <w:t xml:space="preserve">Warm autoimmune </w:t>
      </w:r>
      <w:proofErr w:type="spellStart"/>
      <w:r>
        <w:t>hemolytic</w:t>
      </w:r>
      <w:proofErr w:type="spellEnd"/>
      <w:r>
        <w:t xml:space="preserve"> </w:t>
      </w:r>
      <w:proofErr w:type="spellStart"/>
      <w:r>
        <w:t>anemia</w:t>
      </w:r>
      <w:proofErr w:type="spellEnd"/>
      <w:r>
        <w:t>: therapy and outcomes</w:t>
      </w:r>
    </w:p>
    <w:p w14:paraId="7AABE624" w14:textId="1FAA26C0" w:rsidR="00FF4C63" w:rsidRDefault="00FF4C63" w:rsidP="005623C9">
      <w:pPr>
        <w:pStyle w:val="ListParagraph"/>
        <w:jc w:val="both"/>
      </w:pPr>
      <w:r>
        <w:t xml:space="preserve">https://pubmed.ncbi.nlm.nih.gov/27082461/  </w:t>
      </w:r>
    </w:p>
    <w:p w14:paraId="2FA8F947" w14:textId="77777777" w:rsidR="00FF4C63" w:rsidRDefault="00FF4C63" w:rsidP="005623C9">
      <w:pPr>
        <w:pStyle w:val="ListParagraph"/>
        <w:jc w:val="both"/>
      </w:pPr>
      <w:r>
        <w:tab/>
        <w:t>13.</w:t>
      </w:r>
      <w:r>
        <w:tab/>
        <w:t>Cold agglutinin syndrome in children</w:t>
      </w:r>
    </w:p>
    <w:p w14:paraId="006FD890" w14:textId="5D9D4C78" w:rsidR="00FF4C63" w:rsidRDefault="00FF4C63" w:rsidP="005623C9">
      <w:pPr>
        <w:pStyle w:val="ListParagraph"/>
        <w:jc w:val="both"/>
      </w:pPr>
      <w:r>
        <w:t xml:space="preserve">https://pubmed.ncbi.nlm.nih.gov/30535872/  </w:t>
      </w:r>
    </w:p>
    <w:p w14:paraId="5DD3AF87" w14:textId="77777777" w:rsidR="00FF4C63" w:rsidRDefault="00FF4C63" w:rsidP="005623C9">
      <w:pPr>
        <w:pStyle w:val="ListParagraph"/>
        <w:jc w:val="both"/>
      </w:pPr>
      <w:r>
        <w:tab/>
        <w:t>14.</w:t>
      </w:r>
      <w:r>
        <w:tab/>
        <w:t xml:space="preserve">Paroxysmal cold </w:t>
      </w:r>
      <w:proofErr w:type="spellStart"/>
      <w:r>
        <w:t>hemoglobinuria</w:t>
      </w:r>
      <w:proofErr w:type="spellEnd"/>
      <w:r>
        <w:t xml:space="preserve"> in </w:t>
      </w:r>
      <w:proofErr w:type="spellStart"/>
      <w:r>
        <w:t>pediatrics</w:t>
      </w:r>
      <w:proofErr w:type="spellEnd"/>
    </w:p>
    <w:p w14:paraId="1D01B61F" w14:textId="768B84B0" w:rsidR="00FF4C63" w:rsidRDefault="00FF4C63" w:rsidP="005623C9">
      <w:pPr>
        <w:pStyle w:val="ListParagraph"/>
        <w:jc w:val="both"/>
      </w:pPr>
      <w:r>
        <w:t xml:space="preserve">https://pubmed.ncbi.nlm.nih.gov/25588150/  </w:t>
      </w:r>
    </w:p>
    <w:p w14:paraId="65B48DAA" w14:textId="77777777" w:rsidR="00FF4C63" w:rsidRDefault="00FF4C63" w:rsidP="005623C9">
      <w:pPr>
        <w:pStyle w:val="ListParagraph"/>
        <w:jc w:val="both"/>
      </w:pPr>
      <w:r>
        <w:tab/>
        <w:t>15.</w:t>
      </w:r>
      <w:r>
        <w:tab/>
        <w:t xml:space="preserve">Evans syndrome associated </w:t>
      </w:r>
      <w:proofErr w:type="spellStart"/>
      <w:r>
        <w:t>hemolytic</w:t>
      </w:r>
      <w:proofErr w:type="spellEnd"/>
      <w:r>
        <w:t xml:space="preserve"> </w:t>
      </w:r>
      <w:proofErr w:type="spellStart"/>
      <w:r>
        <w:t>anemia</w:t>
      </w:r>
      <w:proofErr w:type="spellEnd"/>
    </w:p>
    <w:p w14:paraId="5AAB9AC2" w14:textId="616E3FC2" w:rsidR="00FF4C63" w:rsidRDefault="00FF4C63" w:rsidP="005623C9">
      <w:pPr>
        <w:pStyle w:val="ListParagraph"/>
        <w:jc w:val="both"/>
      </w:pPr>
      <w:r>
        <w:t xml:space="preserve">https://pubmed.ncbi.nlm.nih.gov/26326386/  </w:t>
      </w:r>
    </w:p>
    <w:p w14:paraId="045CE2D1" w14:textId="77777777" w:rsidR="00FF4C63" w:rsidRDefault="00FF4C63" w:rsidP="005623C9">
      <w:pPr>
        <w:pStyle w:val="ListParagraph"/>
        <w:jc w:val="both"/>
      </w:pPr>
      <w:r>
        <w:tab/>
        <w:t>16.</w:t>
      </w:r>
      <w:r>
        <w:tab/>
        <w:t>AIHA post-infection in children</w:t>
      </w:r>
    </w:p>
    <w:p w14:paraId="7A761356" w14:textId="5D90DE00" w:rsidR="00FF4C63" w:rsidRDefault="00FF4C63" w:rsidP="005623C9">
      <w:pPr>
        <w:pStyle w:val="ListParagraph"/>
        <w:jc w:val="both"/>
      </w:pPr>
      <w:r>
        <w:t xml:space="preserve">https://pubmed.ncbi.nlm.nih.gov/26152732/  </w:t>
      </w:r>
    </w:p>
    <w:p w14:paraId="1ED0B8EA" w14:textId="77777777" w:rsidR="00FF4C63" w:rsidRDefault="00FF4C63" w:rsidP="005623C9">
      <w:pPr>
        <w:pStyle w:val="ListParagraph"/>
        <w:jc w:val="both"/>
      </w:pPr>
      <w:r>
        <w:tab/>
        <w:t>17.</w:t>
      </w:r>
      <w:r>
        <w:tab/>
        <w:t xml:space="preserve">Hospital outcomes in </w:t>
      </w:r>
      <w:proofErr w:type="spellStart"/>
      <w:r>
        <w:t>pediatric</w:t>
      </w:r>
      <w:proofErr w:type="spellEnd"/>
      <w:r>
        <w:t xml:space="preserve"> AIHA</w:t>
      </w:r>
    </w:p>
    <w:p w14:paraId="4852A76C" w14:textId="19A18EC1" w:rsidR="00FF4C63" w:rsidRDefault="00FF4C63" w:rsidP="005623C9">
      <w:pPr>
        <w:pStyle w:val="ListParagraph"/>
        <w:jc w:val="both"/>
      </w:pPr>
      <w:r>
        <w:t xml:space="preserve">https://pubmed.ncbi.nlm.nih.gov/25006695/  </w:t>
      </w:r>
    </w:p>
    <w:p w14:paraId="25EDBFD7" w14:textId="43186090" w:rsidR="00FF4C63" w:rsidRDefault="00FF4C63" w:rsidP="005623C9">
      <w:pPr>
        <w:pStyle w:val="ListParagraph"/>
        <w:jc w:val="both"/>
      </w:pPr>
      <w:r>
        <w:tab/>
        <w:t>18.</w:t>
      </w:r>
      <w:r>
        <w:tab/>
        <w:t>AIHA case series in infants</w:t>
      </w:r>
    </w:p>
    <w:p w14:paraId="2CE55A46" w14:textId="65EE330A" w:rsidR="00FF4C63" w:rsidRDefault="00FF4C63" w:rsidP="005623C9">
      <w:pPr>
        <w:pStyle w:val="ListParagraph"/>
        <w:jc w:val="both"/>
      </w:pPr>
      <w:r>
        <w:t xml:space="preserve">https://pubmed.ncbi.nlm.nih.gov/23659231/  </w:t>
      </w:r>
    </w:p>
    <w:p w14:paraId="4DC19A16" w14:textId="77777777" w:rsidR="0006785F" w:rsidRPr="0006785F" w:rsidRDefault="0006785F" w:rsidP="0006785F"/>
    <w:p w14:paraId="36282478" w14:textId="77777777" w:rsidR="0006785F" w:rsidRPr="0006785F" w:rsidRDefault="0006785F" w:rsidP="0006785F"/>
    <w:p w14:paraId="0902074C" w14:textId="77777777" w:rsidR="0006785F" w:rsidRPr="0006785F" w:rsidRDefault="0006785F" w:rsidP="0006785F"/>
    <w:p w14:paraId="538C5A2D" w14:textId="77777777" w:rsidR="0006785F" w:rsidRPr="0006785F" w:rsidRDefault="0006785F" w:rsidP="0006785F"/>
    <w:p w14:paraId="2FF8AB92" w14:textId="77777777" w:rsidR="00481264" w:rsidRDefault="00481264" w:rsidP="0006785F">
      <w:pPr>
        <w:pStyle w:val="ListParagraph"/>
        <w:rPr>
          <w:color w:val="47D459" w:themeColor="accent3" w:themeTint="99"/>
          <w:u w:val="single"/>
        </w:rPr>
      </w:pPr>
    </w:p>
    <w:p w14:paraId="6B4D4CCA" w14:textId="4A0B5640" w:rsidR="0006785F" w:rsidRPr="005219C7" w:rsidRDefault="0006785F" w:rsidP="0006785F">
      <w:pPr>
        <w:pStyle w:val="ListParagraph"/>
      </w:pPr>
      <w:r w:rsidRPr="00327EEA">
        <w:rPr>
          <w:color w:val="47D459" w:themeColor="accent3" w:themeTint="99"/>
          <w:u w:val="single"/>
        </w:rPr>
        <w:t>@International Research Journal of Modernization in Engineering, Technology and Science</w:t>
      </w:r>
    </w:p>
    <w:p w14:paraId="3A410443" w14:textId="77777777" w:rsidR="0006785F" w:rsidRPr="0006785F" w:rsidRDefault="0006785F" w:rsidP="0006785F">
      <w:pPr>
        <w:ind w:firstLine="720"/>
      </w:pPr>
    </w:p>
    <w:sectPr w:rsidR="0006785F" w:rsidRPr="0006785F" w:rsidSect="00A61FAD">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90364" w14:textId="77777777" w:rsidR="00BD4109" w:rsidRDefault="00BD4109" w:rsidP="006722F6">
      <w:pPr>
        <w:spacing w:after="0" w:line="240" w:lineRule="auto"/>
      </w:pPr>
      <w:r>
        <w:separator/>
      </w:r>
    </w:p>
  </w:endnote>
  <w:endnote w:type="continuationSeparator" w:id="0">
    <w:p w14:paraId="268A5434" w14:textId="77777777" w:rsidR="00BD4109" w:rsidRDefault="00BD4109" w:rsidP="006722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FBE1B" w14:textId="77777777" w:rsidR="00BD4109" w:rsidRDefault="00BD4109" w:rsidP="006722F6">
      <w:pPr>
        <w:spacing w:after="0" w:line="240" w:lineRule="auto"/>
      </w:pPr>
      <w:r>
        <w:separator/>
      </w:r>
    </w:p>
  </w:footnote>
  <w:footnote w:type="continuationSeparator" w:id="0">
    <w:p w14:paraId="16637CBF" w14:textId="77777777" w:rsidR="00BD4109" w:rsidRDefault="00BD4109" w:rsidP="006722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6F543B"/>
    <w:multiLevelType w:val="multilevel"/>
    <w:tmpl w:val="4ECC5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593CF0"/>
    <w:multiLevelType w:val="multilevel"/>
    <w:tmpl w:val="EB16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953664E"/>
    <w:multiLevelType w:val="multilevel"/>
    <w:tmpl w:val="0D446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9CE442B"/>
    <w:multiLevelType w:val="multilevel"/>
    <w:tmpl w:val="C3CE56F8"/>
    <w:lvl w:ilvl="0">
      <w:start w:val="1"/>
      <w:numFmt w:val="bullet"/>
      <w:lvlText w:val=""/>
      <w:lvlJc w:val="left"/>
      <w:pPr>
        <w:tabs>
          <w:tab w:val="num" w:pos="3479"/>
        </w:tabs>
        <w:ind w:left="3479" w:hanging="360"/>
      </w:pPr>
      <w:rPr>
        <w:rFonts w:ascii="Symbol" w:hAnsi="Symbol" w:hint="default"/>
        <w:sz w:val="20"/>
      </w:rPr>
    </w:lvl>
    <w:lvl w:ilvl="1" w:tentative="1">
      <w:start w:val="1"/>
      <w:numFmt w:val="bullet"/>
      <w:lvlText w:val="o"/>
      <w:lvlJc w:val="left"/>
      <w:pPr>
        <w:tabs>
          <w:tab w:val="num" w:pos="4199"/>
        </w:tabs>
        <w:ind w:left="4199" w:hanging="360"/>
      </w:pPr>
      <w:rPr>
        <w:rFonts w:ascii="Courier New" w:hAnsi="Courier New" w:hint="default"/>
        <w:sz w:val="20"/>
      </w:rPr>
    </w:lvl>
    <w:lvl w:ilvl="2" w:tentative="1">
      <w:start w:val="1"/>
      <w:numFmt w:val="bullet"/>
      <w:lvlText w:val=""/>
      <w:lvlJc w:val="left"/>
      <w:pPr>
        <w:tabs>
          <w:tab w:val="num" w:pos="4919"/>
        </w:tabs>
        <w:ind w:left="4919" w:hanging="360"/>
      </w:pPr>
      <w:rPr>
        <w:rFonts w:ascii="Wingdings" w:hAnsi="Wingdings" w:hint="default"/>
        <w:sz w:val="20"/>
      </w:rPr>
    </w:lvl>
    <w:lvl w:ilvl="3" w:tentative="1">
      <w:start w:val="1"/>
      <w:numFmt w:val="bullet"/>
      <w:lvlText w:val=""/>
      <w:lvlJc w:val="left"/>
      <w:pPr>
        <w:tabs>
          <w:tab w:val="num" w:pos="5639"/>
        </w:tabs>
        <w:ind w:left="5639" w:hanging="360"/>
      </w:pPr>
      <w:rPr>
        <w:rFonts w:ascii="Wingdings" w:hAnsi="Wingdings" w:hint="default"/>
        <w:sz w:val="20"/>
      </w:rPr>
    </w:lvl>
    <w:lvl w:ilvl="4" w:tentative="1">
      <w:start w:val="1"/>
      <w:numFmt w:val="bullet"/>
      <w:lvlText w:val=""/>
      <w:lvlJc w:val="left"/>
      <w:pPr>
        <w:tabs>
          <w:tab w:val="num" w:pos="6359"/>
        </w:tabs>
        <w:ind w:left="6359" w:hanging="360"/>
      </w:pPr>
      <w:rPr>
        <w:rFonts w:ascii="Wingdings" w:hAnsi="Wingdings" w:hint="default"/>
        <w:sz w:val="20"/>
      </w:rPr>
    </w:lvl>
    <w:lvl w:ilvl="5" w:tentative="1">
      <w:start w:val="1"/>
      <w:numFmt w:val="bullet"/>
      <w:lvlText w:val=""/>
      <w:lvlJc w:val="left"/>
      <w:pPr>
        <w:tabs>
          <w:tab w:val="num" w:pos="7079"/>
        </w:tabs>
        <w:ind w:left="7079" w:hanging="360"/>
      </w:pPr>
      <w:rPr>
        <w:rFonts w:ascii="Wingdings" w:hAnsi="Wingdings" w:hint="default"/>
        <w:sz w:val="20"/>
      </w:rPr>
    </w:lvl>
    <w:lvl w:ilvl="6" w:tentative="1">
      <w:start w:val="1"/>
      <w:numFmt w:val="bullet"/>
      <w:lvlText w:val=""/>
      <w:lvlJc w:val="left"/>
      <w:pPr>
        <w:tabs>
          <w:tab w:val="num" w:pos="7799"/>
        </w:tabs>
        <w:ind w:left="7799" w:hanging="360"/>
      </w:pPr>
      <w:rPr>
        <w:rFonts w:ascii="Wingdings" w:hAnsi="Wingdings" w:hint="default"/>
        <w:sz w:val="20"/>
      </w:rPr>
    </w:lvl>
    <w:lvl w:ilvl="7" w:tentative="1">
      <w:start w:val="1"/>
      <w:numFmt w:val="bullet"/>
      <w:lvlText w:val=""/>
      <w:lvlJc w:val="left"/>
      <w:pPr>
        <w:tabs>
          <w:tab w:val="num" w:pos="8519"/>
        </w:tabs>
        <w:ind w:left="8519" w:hanging="360"/>
      </w:pPr>
      <w:rPr>
        <w:rFonts w:ascii="Wingdings" w:hAnsi="Wingdings" w:hint="default"/>
        <w:sz w:val="20"/>
      </w:rPr>
    </w:lvl>
    <w:lvl w:ilvl="8" w:tentative="1">
      <w:start w:val="1"/>
      <w:numFmt w:val="bullet"/>
      <w:lvlText w:val=""/>
      <w:lvlJc w:val="left"/>
      <w:pPr>
        <w:tabs>
          <w:tab w:val="num" w:pos="9239"/>
        </w:tabs>
        <w:ind w:left="9239" w:hanging="360"/>
      </w:pPr>
      <w:rPr>
        <w:rFonts w:ascii="Wingdings" w:hAnsi="Wingdings" w:hint="default"/>
        <w:sz w:val="20"/>
      </w:rPr>
    </w:lvl>
  </w:abstractNum>
  <w:abstractNum w:abstractNumId="4" w15:restartNumberingAfterBreak="0">
    <w:nsid w:val="3ADD713A"/>
    <w:multiLevelType w:val="multilevel"/>
    <w:tmpl w:val="0BB6B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63A6933"/>
    <w:multiLevelType w:val="hybridMultilevel"/>
    <w:tmpl w:val="D58ACA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7CDC656A"/>
    <w:multiLevelType w:val="multilevel"/>
    <w:tmpl w:val="DA687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1099910">
    <w:abstractNumId w:val="5"/>
  </w:num>
  <w:num w:numId="2" w16cid:durableId="1532839011">
    <w:abstractNumId w:val="1"/>
  </w:num>
  <w:num w:numId="3" w16cid:durableId="1191190517">
    <w:abstractNumId w:val="4"/>
  </w:num>
  <w:num w:numId="4" w16cid:durableId="8412389">
    <w:abstractNumId w:val="3"/>
  </w:num>
  <w:num w:numId="5" w16cid:durableId="708644665">
    <w:abstractNumId w:val="6"/>
  </w:num>
  <w:num w:numId="6" w16cid:durableId="223681872">
    <w:abstractNumId w:val="0"/>
  </w:num>
  <w:num w:numId="7" w16cid:durableId="20983997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FC4"/>
    <w:rsid w:val="00045F9F"/>
    <w:rsid w:val="0006143C"/>
    <w:rsid w:val="0006785F"/>
    <w:rsid w:val="000C6BA2"/>
    <w:rsid w:val="000E3D26"/>
    <w:rsid w:val="001F4FB5"/>
    <w:rsid w:val="00213BD2"/>
    <w:rsid w:val="002841A0"/>
    <w:rsid w:val="002A74C0"/>
    <w:rsid w:val="002C59C5"/>
    <w:rsid w:val="00327EEA"/>
    <w:rsid w:val="0036433F"/>
    <w:rsid w:val="00417D88"/>
    <w:rsid w:val="00445A5A"/>
    <w:rsid w:val="004665EB"/>
    <w:rsid w:val="0047582C"/>
    <w:rsid w:val="00481264"/>
    <w:rsid w:val="004C2CBF"/>
    <w:rsid w:val="005219C7"/>
    <w:rsid w:val="00521D46"/>
    <w:rsid w:val="005623C9"/>
    <w:rsid w:val="005A1941"/>
    <w:rsid w:val="005E78E2"/>
    <w:rsid w:val="00644097"/>
    <w:rsid w:val="006722F6"/>
    <w:rsid w:val="00680E0D"/>
    <w:rsid w:val="00696254"/>
    <w:rsid w:val="0070689B"/>
    <w:rsid w:val="00777B22"/>
    <w:rsid w:val="007E6ECE"/>
    <w:rsid w:val="0080162D"/>
    <w:rsid w:val="008A7DC5"/>
    <w:rsid w:val="00900FC4"/>
    <w:rsid w:val="00923991"/>
    <w:rsid w:val="00991F5A"/>
    <w:rsid w:val="009D00A7"/>
    <w:rsid w:val="00A61FAD"/>
    <w:rsid w:val="00AB6D0F"/>
    <w:rsid w:val="00AE5A8B"/>
    <w:rsid w:val="00B54854"/>
    <w:rsid w:val="00B91A02"/>
    <w:rsid w:val="00BD4109"/>
    <w:rsid w:val="00BF49FB"/>
    <w:rsid w:val="00D24363"/>
    <w:rsid w:val="00D51E92"/>
    <w:rsid w:val="00D86534"/>
    <w:rsid w:val="00DF4511"/>
    <w:rsid w:val="00E74024"/>
    <w:rsid w:val="00E83125"/>
    <w:rsid w:val="00F646F0"/>
    <w:rsid w:val="00FF4C6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45ABA"/>
  <w15:chartTrackingRefBased/>
  <w15:docId w15:val="{6DDA8BA9-C3E0-4A74-85CB-428124D40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00F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00F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00FC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00FC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00FC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00FC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00FC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00FC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00FC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0FC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00FC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00FC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00FC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00FC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00F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0F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0F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0FC4"/>
    <w:rPr>
      <w:rFonts w:eastAsiaTheme="majorEastAsia" w:cstheme="majorBidi"/>
      <w:color w:val="272727" w:themeColor="text1" w:themeTint="D8"/>
    </w:rPr>
  </w:style>
  <w:style w:type="paragraph" w:styleId="Title">
    <w:name w:val="Title"/>
    <w:basedOn w:val="Normal"/>
    <w:next w:val="Normal"/>
    <w:link w:val="TitleChar"/>
    <w:uiPriority w:val="10"/>
    <w:qFormat/>
    <w:rsid w:val="00900F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00F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0FC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00F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0FC4"/>
    <w:pPr>
      <w:spacing w:before="160"/>
      <w:jc w:val="center"/>
    </w:pPr>
    <w:rPr>
      <w:i/>
      <w:iCs/>
      <w:color w:val="404040" w:themeColor="text1" w:themeTint="BF"/>
    </w:rPr>
  </w:style>
  <w:style w:type="character" w:customStyle="1" w:styleId="QuoteChar">
    <w:name w:val="Quote Char"/>
    <w:basedOn w:val="DefaultParagraphFont"/>
    <w:link w:val="Quote"/>
    <w:uiPriority w:val="29"/>
    <w:rsid w:val="00900FC4"/>
    <w:rPr>
      <w:i/>
      <w:iCs/>
      <w:color w:val="404040" w:themeColor="text1" w:themeTint="BF"/>
    </w:rPr>
  </w:style>
  <w:style w:type="paragraph" w:styleId="ListParagraph">
    <w:name w:val="List Paragraph"/>
    <w:basedOn w:val="Normal"/>
    <w:uiPriority w:val="34"/>
    <w:qFormat/>
    <w:rsid w:val="00900FC4"/>
    <w:pPr>
      <w:ind w:left="720"/>
      <w:contextualSpacing/>
    </w:pPr>
  </w:style>
  <w:style w:type="character" w:styleId="IntenseEmphasis">
    <w:name w:val="Intense Emphasis"/>
    <w:basedOn w:val="DefaultParagraphFont"/>
    <w:uiPriority w:val="21"/>
    <w:qFormat/>
    <w:rsid w:val="00900FC4"/>
    <w:rPr>
      <w:i/>
      <w:iCs/>
      <w:color w:val="0F4761" w:themeColor="accent1" w:themeShade="BF"/>
    </w:rPr>
  </w:style>
  <w:style w:type="paragraph" w:styleId="IntenseQuote">
    <w:name w:val="Intense Quote"/>
    <w:basedOn w:val="Normal"/>
    <w:next w:val="Normal"/>
    <w:link w:val="IntenseQuoteChar"/>
    <w:uiPriority w:val="30"/>
    <w:qFormat/>
    <w:rsid w:val="00900F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00FC4"/>
    <w:rPr>
      <w:i/>
      <w:iCs/>
      <w:color w:val="0F4761" w:themeColor="accent1" w:themeShade="BF"/>
    </w:rPr>
  </w:style>
  <w:style w:type="character" w:styleId="IntenseReference">
    <w:name w:val="Intense Reference"/>
    <w:basedOn w:val="DefaultParagraphFont"/>
    <w:uiPriority w:val="32"/>
    <w:qFormat/>
    <w:rsid w:val="00900FC4"/>
    <w:rPr>
      <w:b/>
      <w:bCs/>
      <w:smallCaps/>
      <w:color w:val="0F4761" w:themeColor="accent1" w:themeShade="BF"/>
      <w:spacing w:val="5"/>
    </w:rPr>
  </w:style>
  <w:style w:type="paragraph" w:styleId="NoSpacing">
    <w:name w:val="No Spacing"/>
    <w:uiPriority w:val="1"/>
    <w:qFormat/>
    <w:rsid w:val="00991F5A"/>
    <w:pPr>
      <w:spacing w:after="0" w:line="240" w:lineRule="auto"/>
    </w:pPr>
  </w:style>
  <w:style w:type="character" w:styleId="Hyperlink">
    <w:name w:val="Hyperlink"/>
    <w:basedOn w:val="DefaultParagraphFont"/>
    <w:uiPriority w:val="99"/>
    <w:unhideWhenUsed/>
    <w:rsid w:val="00991F5A"/>
    <w:rPr>
      <w:color w:val="467886" w:themeColor="hyperlink"/>
      <w:u w:val="single"/>
    </w:rPr>
  </w:style>
  <w:style w:type="character" w:styleId="UnresolvedMention">
    <w:name w:val="Unresolved Mention"/>
    <w:basedOn w:val="DefaultParagraphFont"/>
    <w:uiPriority w:val="99"/>
    <w:semiHidden/>
    <w:unhideWhenUsed/>
    <w:rsid w:val="00991F5A"/>
    <w:rPr>
      <w:color w:val="605E5C"/>
      <w:shd w:val="clear" w:color="auto" w:fill="E1DFDD"/>
    </w:rPr>
  </w:style>
  <w:style w:type="paragraph" w:styleId="Header">
    <w:name w:val="header"/>
    <w:basedOn w:val="Normal"/>
    <w:link w:val="HeaderChar"/>
    <w:uiPriority w:val="99"/>
    <w:unhideWhenUsed/>
    <w:rsid w:val="006722F6"/>
    <w:pPr>
      <w:tabs>
        <w:tab w:val="center" w:pos="4513"/>
        <w:tab w:val="right" w:pos="9026"/>
      </w:tabs>
      <w:spacing w:after="0" w:line="240" w:lineRule="auto"/>
    </w:pPr>
  </w:style>
  <w:style w:type="character" w:customStyle="1" w:styleId="HeaderChar">
    <w:name w:val="Header Char"/>
    <w:basedOn w:val="DefaultParagraphFont"/>
    <w:link w:val="Header"/>
    <w:uiPriority w:val="99"/>
    <w:rsid w:val="006722F6"/>
  </w:style>
  <w:style w:type="paragraph" w:styleId="Footer">
    <w:name w:val="footer"/>
    <w:basedOn w:val="Normal"/>
    <w:link w:val="FooterChar"/>
    <w:uiPriority w:val="99"/>
    <w:unhideWhenUsed/>
    <w:rsid w:val="006722F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722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doi.org/10.56726/IRJMETS839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50624-90E0-4C6B-9132-018D99117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Pages>
  <Words>1345</Words>
  <Characters>7669</Characters>
  <Application>Microsoft Office Word</Application>
  <DocSecurity>0</DocSecurity>
  <Lines>63</Lines>
  <Paragraphs>17</Paragraphs>
  <ScaleCrop>false</ScaleCrop>
  <Company/>
  <LinksUpToDate>false</LinksUpToDate>
  <CharactersWithSpaces>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Gourav Meena</dc:creator>
  <cp:keywords/>
  <dc:description/>
  <cp:lastModifiedBy>Gourav Meena</cp:lastModifiedBy>
  <cp:revision>49</cp:revision>
  <dcterms:created xsi:type="dcterms:W3CDTF">2026-01-20T17:07:00Z</dcterms:created>
  <dcterms:modified xsi:type="dcterms:W3CDTF">2026-01-20T18:00:00Z</dcterms:modified>
</cp:coreProperties>
</file>